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F0" w:rsidRDefault="00B905F0" w:rsidP="00B905F0">
      <w:pPr>
        <w:pStyle w:val="Nagwek4"/>
      </w:pPr>
      <w:r>
        <w:t>P R O J E K T     MPZP – 1</w:t>
      </w:r>
      <w:r w:rsidR="00BE09B8">
        <w:t>5. 11</w:t>
      </w:r>
      <w:r>
        <w:t>.</w:t>
      </w:r>
      <w:r w:rsidR="00BE09B8">
        <w:t xml:space="preserve"> </w:t>
      </w:r>
      <w:r>
        <w:t>202</w:t>
      </w:r>
      <w:r w:rsidR="00BE09B8">
        <w:t>1.</w:t>
      </w:r>
    </w:p>
    <w:p w:rsidR="00B905F0" w:rsidRDefault="00B905F0" w:rsidP="00B905F0">
      <w:pPr>
        <w:spacing w:after="0" w:line="240" w:lineRule="auto"/>
        <w:ind w:left="0" w:firstLine="0"/>
        <w:jc w:val="right"/>
        <w:rPr>
          <w:b/>
          <w:i/>
          <w:iCs/>
          <w:sz w:val="24"/>
        </w:rPr>
      </w:pPr>
    </w:p>
    <w:p w:rsidR="00B905F0" w:rsidRDefault="00B905F0" w:rsidP="00B905F0">
      <w:pPr>
        <w:spacing w:after="0" w:line="240" w:lineRule="auto"/>
        <w:ind w:left="0" w:firstLine="0"/>
        <w:jc w:val="right"/>
        <w:rPr>
          <w:b/>
          <w:i/>
          <w:iCs/>
          <w:sz w:val="24"/>
        </w:rPr>
      </w:pPr>
    </w:p>
    <w:p w:rsidR="00B905F0" w:rsidRDefault="00B905F0" w:rsidP="00B905F0">
      <w:pPr>
        <w:spacing w:after="0" w:line="240" w:lineRule="auto"/>
        <w:ind w:left="0" w:firstLine="0"/>
        <w:jc w:val="center"/>
        <w:rPr>
          <w:b/>
          <w:sz w:val="24"/>
        </w:rPr>
      </w:pPr>
      <w:r>
        <w:rPr>
          <w:b/>
          <w:sz w:val="24"/>
        </w:rPr>
        <w:t xml:space="preserve">UCHWAŁA NR </w:t>
      </w:r>
      <w:r w:rsidR="00BE09B8">
        <w:rPr>
          <w:b/>
          <w:sz w:val="24"/>
        </w:rPr>
        <w:t>…………….</w:t>
      </w:r>
    </w:p>
    <w:p w:rsidR="00B905F0" w:rsidRDefault="00B905F0" w:rsidP="00B905F0">
      <w:pPr>
        <w:pStyle w:val="Nagwek2"/>
        <w:rPr>
          <w:sz w:val="24"/>
        </w:rPr>
      </w:pPr>
      <w:r>
        <w:rPr>
          <w:sz w:val="24"/>
        </w:rPr>
        <w:t>RADY MIEJSKIEJ ZĄBKOWIC ŚLĄSKICH</w:t>
      </w:r>
    </w:p>
    <w:p w:rsidR="00B905F0" w:rsidRDefault="00B905F0" w:rsidP="00B905F0">
      <w:pPr>
        <w:spacing w:after="0" w:line="240" w:lineRule="auto"/>
        <w:ind w:left="0" w:right="-18" w:firstLine="0"/>
        <w:jc w:val="center"/>
        <w:rPr>
          <w:b/>
          <w:sz w:val="24"/>
        </w:rPr>
      </w:pPr>
      <w:r>
        <w:rPr>
          <w:sz w:val="24"/>
        </w:rPr>
        <w:t xml:space="preserve">z dnia </w:t>
      </w:r>
      <w:r w:rsidR="00BE09B8">
        <w:rPr>
          <w:sz w:val="24"/>
        </w:rPr>
        <w:t>………………….</w:t>
      </w:r>
      <w:r>
        <w:rPr>
          <w:sz w:val="24"/>
        </w:rPr>
        <w:t xml:space="preserve"> 20</w:t>
      </w:r>
      <w:r w:rsidR="00330071">
        <w:rPr>
          <w:sz w:val="24"/>
        </w:rPr>
        <w:t>…</w:t>
      </w:r>
      <w:bookmarkStart w:id="0" w:name="_GoBack"/>
      <w:bookmarkEnd w:id="0"/>
      <w:r>
        <w:rPr>
          <w:sz w:val="24"/>
        </w:rPr>
        <w:t xml:space="preserve"> r.</w:t>
      </w:r>
    </w:p>
    <w:p w:rsidR="00B905F0" w:rsidRDefault="00B905F0" w:rsidP="00B905F0">
      <w:pPr>
        <w:spacing w:after="0" w:line="240" w:lineRule="auto"/>
        <w:ind w:left="0" w:right="-18" w:firstLine="0"/>
        <w:jc w:val="center"/>
        <w:rPr>
          <w:sz w:val="24"/>
        </w:rPr>
      </w:pPr>
      <w:r>
        <w:rPr>
          <w:b/>
          <w:sz w:val="24"/>
        </w:rPr>
        <w:t>w sprawie uchwalenia miejscowego planu zagospodarowania przestrzennego</w:t>
      </w:r>
    </w:p>
    <w:p w:rsidR="00B905F0" w:rsidRDefault="00B905F0" w:rsidP="00B905F0">
      <w:pPr>
        <w:spacing w:after="0" w:line="240" w:lineRule="auto"/>
        <w:ind w:left="0" w:right="2" w:firstLine="0"/>
        <w:jc w:val="center"/>
        <w:rPr>
          <w:b/>
          <w:sz w:val="24"/>
        </w:rPr>
      </w:pPr>
      <w:r>
        <w:rPr>
          <w:b/>
          <w:sz w:val="24"/>
        </w:rPr>
        <w:t>dla terenów związanych ze złożami: „Kluczowa”, „Brodziszów I” oraz „Brodziszów – Kłośnik”</w:t>
      </w:r>
    </w:p>
    <w:p w:rsidR="00B905F0" w:rsidRDefault="00B905F0" w:rsidP="00B905F0">
      <w:pPr>
        <w:spacing w:after="0" w:line="240" w:lineRule="auto"/>
        <w:ind w:left="0" w:right="2" w:firstLine="0"/>
        <w:jc w:val="center"/>
        <w:rPr>
          <w:sz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>Na podstawie art. 18 ust. 2 pkt 5 i art. 40 ust. 1 i art. 41 ust. 1 ustawy z dnia 8 marca 1990 r. o samorządzie gminnym (</w:t>
      </w:r>
      <w:r>
        <w:rPr>
          <w:color w:val="FF0000"/>
          <w:sz w:val="24"/>
        </w:rPr>
        <w:t>t.j. Dz. U. 202</w:t>
      </w:r>
      <w:r w:rsidR="00BE09B8">
        <w:rPr>
          <w:color w:val="FF0000"/>
          <w:sz w:val="24"/>
        </w:rPr>
        <w:t>1</w:t>
      </w:r>
      <w:r>
        <w:rPr>
          <w:color w:val="FF0000"/>
          <w:sz w:val="24"/>
        </w:rPr>
        <w:t xml:space="preserve">, poz. </w:t>
      </w:r>
      <w:r w:rsidR="00BE09B8">
        <w:rPr>
          <w:color w:val="FF0000"/>
          <w:sz w:val="24"/>
        </w:rPr>
        <w:t>1372</w:t>
      </w:r>
      <w:r>
        <w:rPr>
          <w:color w:val="FF0000"/>
          <w:sz w:val="24"/>
        </w:rPr>
        <w:t>.</w:t>
      </w:r>
      <w:r w:rsidR="00BE09B8">
        <w:rPr>
          <w:color w:val="FF0000"/>
          <w:sz w:val="24"/>
        </w:rPr>
        <w:t xml:space="preserve"> ze zm.</w:t>
      </w:r>
      <w:r>
        <w:rPr>
          <w:color w:val="FF0000"/>
          <w:sz w:val="24"/>
        </w:rPr>
        <w:t xml:space="preserve">) </w:t>
      </w:r>
      <w:r>
        <w:rPr>
          <w:sz w:val="24"/>
        </w:rPr>
        <w:t xml:space="preserve">i art. 20 ust. 1 i art. 29 ustawy z dnia 27 marca 2003 r. o planowaniu i zagospodarowaniu przestrzennym </w:t>
      </w:r>
      <w:r>
        <w:rPr>
          <w:color w:val="FF0000"/>
          <w:sz w:val="24"/>
        </w:rPr>
        <w:t>(t.j. Dz. U. 202</w:t>
      </w:r>
      <w:r w:rsidR="00BE09B8">
        <w:rPr>
          <w:color w:val="FF0000"/>
          <w:sz w:val="24"/>
        </w:rPr>
        <w:t>1</w:t>
      </w:r>
      <w:r>
        <w:rPr>
          <w:color w:val="FF0000"/>
          <w:sz w:val="24"/>
        </w:rPr>
        <w:t xml:space="preserve">, poz. </w:t>
      </w:r>
      <w:r w:rsidR="00BE09B8">
        <w:rPr>
          <w:color w:val="FF0000"/>
          <w:sz w:val="24"/>
        </w:rPr>
        <w:t>741 ze zm</w:t>
      </w:r>
      <w:r>
        <w:rPr>
          <w:color w:val="FF0000"/>
          <w:sz w:val="24"/>
        </w:rPr>
        <w:t xml:space="preserve">.), </w:t>
      </w:r>
      <w:r>
        <w:rPr>
          <w:sz w:val="24"/>
        </w:rPr>
        <w:t xml:space="preserve">w związku z uchwałą Rady Miejskiej Ząbkowic Śląskich Nr VIII/63/2019 z dnia 28 lutego 2019 r. w sprawie przystąpienia do sporządzenia miejscowego planu zagospodarowania przestrzennego </w:t>
      </w:r>
      <w:r>
        <w:rPr>
          <w:bCs/>
          <w:sz w:val="24"/>
        </w:rPr>
        <w:t xml:space="preserve">dla terenów związanych ze złożami: „Kluczowa”, „Brodziszów I” oraz „Brodziszów – Kłośnik” </w:t>
      </w:r>
      <w:r>
        <w:rPr>
          <w:sz w:val="24"/>
        </w:rPr>
        <w:t xml:space="preserve">oraz uchwałą Rady Miejskiej Ząbkowic Śląskich Nr XIV/96/2019 z dnia 28 czerwca 2019 r. zmieniającą uchwałę w sprawie przystąpienia do sporządzenia miejscowego planu zagospodarowania przestrzennego </w:t>
      </w:r>
      <w:r>
        <w:rPr>
          <w:bCs/>
          <w:sz w:val="24"/>
        </w:rPr>
        <w:t>dla terenów związanych ze złożami: „Kluczowa”, „Brodziszów I” oraz „Brodziszów – Kłośnik”</w:t>
      </w:r>
      <w:r>
        <w:rPr>
          <w:sz w:val="24"/>
        </w:rPr>
        <w:t>, po stwierdzeniu nie naruszania ustaleń studium uwarunkowań i kierunków zagospodarowania przestrzennego miasta i gminy Ząbkowice Śląskie, przyjętego uchwałą nr VI/19/2010 z dnia 2 czerwca 2010 r., Rada Miejska w Ząbkowic Śląskich uchwala co następuje: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</w:rPr>
      </w:pPr>
    </w:p>
    <w:p w:rsidR="00B905F0" w:rsidRDefault="00B905F0" w:rsidP="00B905F0">
      <w:pPr>
        <w:spacing w:after="0" w:line="240" w:lineRule="auto"/>
        <w:ind w:left="0" w:right="1" w:firstLine="0"/>
        <w:jc w:val="center"/>
        <w:rPr>
          <w:sz w:val="24"/>
        </w:rPr>
      </w:pPr>
      <w:r>
        <w:rPr>
          <w:b/>
          <w:sz w:val="24"/>
        </w:rPr>
        <w:t>Rozdział 1.</w:t>
      </w:r>
    </w:p>
    <w:p w:rsidR="00B905F0" w:rsidRDefault="00B905F0" w:rsidP="00B905F0">
      <w:pPr>
        <w:pStyle w:val="Nagwek3"/>
      </w:pPr>
      <w:r>
        <w:t>USTALENIA OGÓLNE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>1. Uchwala się miejscowy plan zagospodarowania przestrzennego dla terenów związanych ze złożami: „Kluczowa”, „Brodziszów I” oraz „Brodziszów – Kłośnik” zwany dalej planem miejscowym.</w:t>
      </w:r>
    </w:p>
    <w:p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Granice opracowania planu miejscowego oznaczono na rysunku planu miejscowego.</w:t>
      </w:r>
    </w:p>
    <w:p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Załącznikami do miejscowego planu są:</w:t>
      </w:r>
    </w:p>
    <w:p w:rsidR="00B905F0" w:rsidRDefault="00B905F0" w:rsidP="00B905F0">
      <w:pPr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załącznik nr 1 stanowiący rysunek planu miejscowego, składający się z dwóch arkuszy:</w:t>
      </w:r>
    </w:p>
    <w:p w:rsidR="00B905F0" w:rsidRDefault="00B905F0" w:rsidP="00B905F0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arkusz nr 1/2 – w skali 1:2000,</w:t>
      </w:r>
    </w:p>
    <w:p w:rsidR="00B905F0" w:rsidRDefault="00B905F0" w:rsidP="00B905F0">
      <w:pPr>
        <w:pStyle w:val="Akapitzlist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arkusz 2/2 – w skali 1 : 1000;</w:t>
      </w:r>
    </w:p>
    <w:p w:rsidR="00B905F0" w:rsidRDefault="00B905F0" w:rsidP="00B905F0">
      <w:pPr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załącznik nr 2 – rozstrzygnięcie o sposobie rozpatrzenia uwag do miejscowego planu zagospodarowania przestrzennego;</w:t>
      </w:r>
    </w:p>
    <w:p w:rsidR="00B905F0" w:rsidRDefault="00B905F0" w:rsidP="00B905F0">
      <w:pPr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załącznik nr 3 – rozstrzygnięcie o sposobie realizacji inwestycji z zakresu infrastruktury technicznej, które należą do zadań własnych gminy, oraz zasadach ich finansowania</w:t>
      </w:r>
      <w:r w:rsidR="00BE09B8">
        <w:rPr>
          <w:sz w:val="24"/>
          <w:szCs w:val="24"/>
        </w:rPr>
        <w:t>;</w:t>
      </w:r>
    </w:p>
    <w:p w:rsidR="00BE09B8" w:rsidRDefault="00BE09B8" w:rsidP="00B905F0">
      <w:pPr>
        <w:numPr>
          <w:ilvl w:val="0"/>
          <w:numId w:val="2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dane przestrzenne.</w:t>
      </w:r>
    </w:p>
    <w:p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Następujące oznaczenia na rysunku planu miejscowego stanowią obowiązujące ustalenia planu miejscowego:</w:t>
      </w:r>
    </w:p>
    <w:p w:rsidR="00B905F0" w:rsidRDefault="00B905F0" w:rsidP="00B905F0">
      <w:pPr>
        <w:numPr>
          <w:ilvl w:val="0"/>
          <w:numId w:val="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granice opracowania planu miejscowego;</w:t>
      </w:r>
    </w:p>
    <w:p w:rsidR="00B905F0" w:rsidRDefault="00B905F0" w:rsidP="00B905F0">
      <w:pPr>
        <w:numPr>
          <w:ilvl w:val="0"/>
          <w:numId w:val="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linie rozgraniczające tereny o różnym przeznaczeniu lub różnych zasadach zagospodarowania;</w:t>
      </w:r>
    </w:p>
    <w:p w:rsidR="00B905F0" w:rsidRDefault="00B905F0" w:rsidP="00B905F0">
      <w:pPr>
        <w:numPr>
          <w:ilvl w:val="0"/>
          <w:numId w:val="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nieprzekraczalne linie zabudowy;</w:t>
      </w:r>
    </w:p>
    <w:p w:rsidR="00B905F0" w:rsidRDefault="00B905F0" w:rsidP="00B905F0">
      <w:pPr>
        <w:numPr>
          <w:ilvl w:val="0"/>
          <w:numId w:val="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symbole określające przeznaczenie terenu.</w:t>
      </w:r>
    </w:p>
    <w:p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Pozostałe oznaczenia na rysunku planu miejscowego, nie wymienione w ust. 4 nie stanowią jego ustaleń i mają charakter informacyjny.</w:t>
      </w:r>
    </w:p>
    <w:p w:rsidR="00B905F0" w:rsidRDefault="00B905F0" w:rsidP="00B905F0">
      <w:pPr>
        <w:numPr>
          <w:ilvl w:val="0"/>
          <w:numId w:val="1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Z uwagi na niewystępowanie problematyki, w planie </w:t>
      </w:r>
      <w:r>
        <w:rPr>
          <w:sz w:val="24"/>
          <w:szCs w:val="24"/>
        </w:rPr>
        <w:t>miejscowym</w:t>
      </w:r>
      <w:r>
        <w:rPr>
          <w:color w:val="auto"/>
          <w:sz w:val="24"/>
          <w:szCs w:val="24"/>
        </w:rPr>
        <w:t xml:space="preserve"> nie określa się: </w:t>
      </w:r>
    </w:p>
    <w:p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zasad kształtowania krajobrazu;</w:t>
      </w:r>
    </w:p>
    <w:p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zasad ochrony dóbr kultury współczesnej;</w:t>
      </w:r>
    </w:p>
    <w:p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wymagań wynikających z potrzeb kształtowania przestrzeni publicznych;</w:t>
      </w:r>
    </w:p>
    <w:p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granic i sposobów zagospodarowania obszarów szczególnego zagrożenia powodzią, obszarów osuwania się mas ziemnych, krajobrazów priorytetowych określonych w audycie krajobrazowym oraz w planach zagospodarowania przestrzennego województwa;</w:t>
      </w:r>
    </w:p>
    <w:p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szczegółowych zasad i warunków scalania i podziału nieruchomości objętych planem miejscowym;</w:t>
      </w:r>
    </w:p>
    <w:p w:rsidR="00B905F0" w:rsidRDefault="00B905F0" w:rsidP="00B905F0">
      <w:pPr>
        <w:pStyle w:val="Akapitzlist"/>
        <w:numPr>
          <w:ilvl w:val="0"/>
          <w:numId w:val="5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sposobu i terminu tymczasowego zagospodarowania, urządzania i użytkowania terenów.</w:t>
      </w:r>
    </w:p>
    <w:p w:rsidR="00B905F0" w:rsidRDefault="00B905F0" w:rsidP="00B905F0">
      <w:pPr>
        <w:pStyle w:val="Akapitzlist"/>
        <w:spacing w:after="0" w:line="240" w:lineRule="auto"/>
        <w:ind w:left="567" w:firstLine="0"/>
        <w:rPr>
          <w:color w:val="auto"/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Następujące określenia w planie miejscowym oznaczają:</w:t>
      </w:r>
    </w:p>
    <w:p w:rsidR="00B905F0" w:rsidRDefault="00B905F0" w:rsidP="00B905F0">
      <w:pPr>
        <w:numPr>
          <w:ilvl w:val="0"/>
          <w:numId w:val="6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rysunek planu miejscowego </w:t>
      </w:r>
      <w:r>
        <w:rPr>
          <w:sz w:val="24"/>
          <w:szCs w:val="24"/>
        </w:rPr>
        <w:t>– załącznik graficzny, o którym mowa w § 1 pkt. 3 niniejszej uchwały;</w:t>
      </w:r>
    </w:p>
    <w:p w:rsidR="00B905F0" w:rsidRDefault="00B905F0" w:rsidP="00B905F0">
      <w:pPr>
        <w:numPr>
          <w:ilvl w:val="0"/>
          <w:numId w:val="6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symbol </w:t>
      </w:r>
      <w:r>
        <w:rPr>
          <w:sz w:val="24"/>
          <w:szCs w:val="24"/>
        </w:rPr>
        <w:t>– oznaczenie terenu, w którym kolejno:</w:t>
      </w:r>
    </w:p>
    <w:p w:rsidR="00B905F0" w:rsidRDefault="00B905F0" w:rsidP="00B905F0">
      <w:pPr>
        <w:numPr>
          <w:ilvl w:val="1"/>
          <w:numId w:val="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litery oznaczają przeznaczenie terenu,</w:t>
      </w:r>
    </w:p>
    <w:p w:rsidR="00B905F0" w:rsidRDefault="00B905F0" w:rsidP="00B905F0">
      <w:pPr>
        <w:numPr>
          <w:ilvl w:val="1"/>
          <w:numId w:val="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liczby po literach oznaczają numer terenu wyróżniający go z terenów o tym samym przeznaczeniu;</w:t>
      </w:r>
    </w:p>
    <w:p w:rsidR="00B905F0" w:rsidRDefault="00B905F0" w:rsidP="00B905F0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kategoria przeznaczenia terenu </w:t>
      </w:r>
      <w:r>
        <w:rPr>
          <w:sz w:val="24"/>
          <w:szCs w:val="24"/>
        </w:rPr>
        <w:t>– zestaw dopuszczonych przeznaczeń i zasad zagospodarowania terenu;</w:t>
      </w:r>
    </w:p>
    <w:p w:rsidR="00B905F0" w:rsidRDefault="00B905F0" w:rsidP="00B905F0">
      <w:pPr>
        <w:numPr>
          <w:ilvl w:val="0"/>
          <w:numId w:val="7"/>
        </w:numPr>
        <w:spacing w:after="0" w:line="240" w:lineRule="auto"/>
        <w:ind w:left="567" w:hanging="283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nieprzekraczalna linia zabudowy </w:t>
      </w:r>
      <w:r>
        <w:rPr>
          <w:color w:val="auto"/>
          <w:sz w:val="24"/>
          <w:szCs w:val="24"/>
        </w:rPr>
        <w:t xml:space="preserve">– linia na rysunku planu </w:t>
      </w:r>
      <w:r>
        <w:rPr>
          <w:sz w:val="24"/>
          <w:szCs w:val="24"/>
        </w:rPr>
        <w:t>miejscowego</w:t>
      </w:r>
      <w:r>
        <w:rPr>
          <w:color w:val="auto"/>
          <w:sz w:val="24"/>
          <w:szCs w:val="24"/>
        </w:rPr>
        <w:t xml:space="preserve"> ograniczająca tę część terenu, na której dopuszcza się wznoszenie budynków, linia ta nie dotyczy znajdujących się w granicach planu</w:t>
      </w:r>
      <w:r>
        <w:rPr>
          <w:sz w:val="24"/>
          <w:szCs w:val="24"/>
        </w:rPr>
        <w:t xml:space="preserve"> miejscowego</w:t>
      </w:r>
      <w:r>
        <w:rPr>
          <w:color w:val="auto"/>
          <w:sz w:val="24"/>
          <w:szCs w:val="24"/>
        </w:rPr>
        <w:t>: budowli, urządzeń budowlanych, części podziemnych budynków oraz zadaszeń nad wejściami do budynków, balkonów, wykuszy, loggii, gzymsów i okapów nieprzekraczających tej linii o więcej niż 2,0 m;</w:t>
      </w:r>
    </w:p>
    <w:p w:rsidR="00B905F0" w:rsidRDefault="00B905F0" w:rsidP="00B905F0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powierzchnia zabudowy </w:t>
      </w:r>
      <w:r>
        <w:rPr>
          <w:sz w:val="24"/>
          <w:szCs w:val="24"/>
        </w:rPr>
        <w:t>– zajęta powierzchnia terenu wyznaczona w rzutowaniu pionowym przez zewnętrzne krawędzie zewnętrznych ścian budynków w stanie wykończonym, do powierzchni tej nie wlicza się części obiektów budowlanych niewystających ponad powierzchnię terenu a także ramp i schodów zewnętrznych oraz występów dachowych;</w:t>
      </w:r>
    </w:p>
    <w:p w:rsidR="00B905F0" w:rsidRDefault="00B905F0" w:rsidP="00B905F0">
      <w:pPr>
        <w:pStyle w:val="Akapitzlist"/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dachy symetryczne</w:t>
      </w:r>
      <w:r>
        <w:rPr>
          <w:sz w:val="24"/>
          <w:szCs w:val="24"/>
        </w:rPr>
        <w:t xml:space="preserve"> – należy przez to rozumieć dachy dwu- i wielospadowe w tym mansardowe, gdzie połacie zbiegające się w jednej kalenicy mają jednakowe nachylenia zasadniczych połaci;</w:t>
      </w:r>
    </w:p>
    <w:p w:rsidR="00B905F0" w:rsidRDefault="00B905F0" w:rsidP="00B905F0">
      <w:pPr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>działalność nieuciążliwa dla otoczenia</w:t>
      </w:r>
      <w:r>
        <w:rPr>
          <w:sz w:val="24"/>
          <w:szCs w:val="24"/>
        </w:rPr>
        <w:t xml:space="preserve"> – wszelka działalność, której uciążliwość nie wykracza poza granice działek budowlanych, na których działalność ta jest zlokalizowana;</w:t>
      </w:r>
    </w:p>
    <w:p w:rsidR="00B905F0" w:rsidRDefault="00B905F0" w:rsidP="00B905F0">
      <w:pPr>
        <w:numPr>
          <w:ilvl w:val="0"/>
          <w:numId w:val="7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uciążliwość </w:t>
      </w:r>
      <w:r>
        <w:rPr>
          <w:sz w:val="24"/>
          <w:szCs w:val="24"/>
        </w:rPr>
        <w:t>– zjawiska lub stany szkodliwe dla ludzi i utrudniające ich funkcjonowanie, szczególnie w postaci przekroczenia norm dopuszczalnych poziomów hałasu, wibracji, zanieczyszczeń powietrza, gruntu i wody.</w:t>
      </w:r>
    </w:p>
    <w:p w:rsidR="00B905F0" w:rsidRDefault="00B905F0" w:rsidP="00B905F0">
      <w:pPr>
        <w:spacing w:after="0" w:line="240" w:lineRule="auto"/>
        <w:ind w:left="567" w:firstLine="0"/>
        <w:rPr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 xml:space="preserve">zasad ochrony i kształtowania ładu przestrzennego </w:t>
      </w:r>
      <w:r>
        <w:rPr>
          <w:sz w:val="24"/>
          <w:szCs w:val="24"/>
        </w:rPr>
        <w:t>ustala się:</w:t>
      </w:r>
    </w:p>
    <w:p w:rsidR="00B905F0" w:rsidRDefault="00B905F0" w:rsidP="00B905F0">
      <w:pPr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nieprzekraczalne linie zabudowy, których przebieg wskazano na rysunku planu miejscowego;</w:t>
      </w:r>
    </w:p>
    <w:p w:rsidR="00B905F0" w:rsidRDefault="00B905F0" w:rsidP="00B905F0">
      <w:pPr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dla nowych budynków zachowanie odległości nie mniejszej niż 6,0 m od granic działek drogowych sąsiadujących bezpośrednio z obszarem opracowania planu;</w:t>
      </w:r>
    </w:p>
    <w:p w:rsidR="00B905F0" w:rsidRDefault="00B905F0" w:rsidP="00B905F0">
      <w:pPr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dopuszcza się przebudowę oraz remonty zabudowy istniejącej w dniu wejścia w życie planu miejscowego, należącej do innej kategorii przeznaczenia terenu niż ustalona dla poszczególnych terenów lub niespełniającej wskaźników kształtowania zabudowy i zagospodarowania terenu określonych w planie miejscowym;</w:t>
      </w:r>
    </w:p>
    <w:p w:rsidR="00B905F0" w:rsidRDefault="00B905F0" w:rsidP="00B905F0">
      <w:pPr>
        <w:numPr>
          <w:ilvl w:val="0"/>
          <w:numId w:val="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o ile w ustaleniach dla poszczególnych terenów nie ustalono inaczej obowiązuje maksymalna wysokość zabudowy dla budowli – 30,0 m.</w:t>
      </w:r>
    </w:p>
    <w:p w:rsidR="00B905F0" w:rsidRDefault="00B905F0" w:rsidP="00B905F0">
      <w:pPr>
        <w:spacing w:after="0" w:line="240" w:lineRule="auto"/>
        <w:ind w:left="284" w:firstLine="0"/>
        <w:rPr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4. </w:t>
      </w:r>
      <w:r>
        <w:rPr>
          <w:color w:val="auto"/>
          <w:sz w:val="24"/>
          <w:szCs w:val="24"/>
        </w:rPr>
        <w:t xml:space="preserve">W zakresie </w:t>
      </w:r>
      <w:r>
        <w:rPr>
          <w:b/>
          <w:color w:val="auto"/>
          <w:sz w:val="24"/>
          <w:szCs w:val="24"/>
        </w:rPr>
        <w:t>zasad ochrony środowiska, przyrody i krajobrazu</w:t>
      </w:r>
      <w:r>
        <w:rPr>
          <w:color w:val="auto"/>
          <w:sz w:val="24"/>
          <w:szCs w:val="24"/>
        </w:rPr>
        <w:t>:</w:t>
      </w:r>
    </w:p>
    <w:p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wskazuje się rodzaj terenu, do którego w zakresie dopuszczalnego poziomu hałasu w środowisku należy teren oznaczony w planie miejscowym symbolem U, podlegający ochronie akustycznej: tereny przeznaczone na cele mieszkaniowo-usługowe;</w:t>
      </w:r>
    </w:p>
    <w:p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ustala się obowiązek zapewnienia właściwego standardu akustycznego na terenie podlegającym ochronie akustycznej wymienionym w pkt 1, zgodnie z wymogami przepisów odrębnych dotyczących ochrony środowiska;</w:t>
      </w:r>
    </w:p>
    <w:p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na terenie oznaczonym na rysunku planu miejscowego symbolem U, ustala się zakaz lokalizacji przedsięwzięć mogących zawsze znacząco oddziaływać na środowisko;</w:t>
      </w:r>
    </w:p>
    <w:p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na terenie oznaczonym na rysunku planu miejscowego symbolem</w:t>
      </w:r>
      <w:r w:rsidR="00BE09B8">
        <w:rPr>
          <w:sz w:val="24"/>
          <w:szCs w:val="24"/>
        </w:rPr>
        <w:t xml:space="preserve"> U</w:t>
      </w:r>
      <w:r>
        <w:rPr>
          <w:sz w:val="24"/>
          <w:szCs w:val="24"/>
        </w:rPr>
        <w:t xml:space="preserve"> dopuszcza się realizację instalacji fotowoltaicznej o mocy nie przekraczającej 100 kV;</w:t>
      </w:r>
    </w:p>
    <w:p w:rsidR="00B905F0" w:rsidRDefault="00B905F0" w:rsidP="00B905F0">
      <w:pPr>
        <w:numPr>
          <w:ilvl w:val="0"/>
          <w:numId w:val="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>dopuszcza się na niewielkim odcinku wód powierzchniowych, przylegających bezpośrednio do terenu działalności górniczej przebudowę i obudowę koryta w celu zabezpieczenia go przed ujemnymi skutkami tej działalności.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5. </w:t>
      </w:r>
      <w:r>
        <w:rPr>
          <w:color w:val="auto"/>
          <w:sz w:val="24"/>
          <w:szCs w:val="24"/>
        </w:rPr>
        <w:t xml:space="preserve">W zakresie </w:t>
      </w:r>
      <w:r>
        <w:rPr>
          <w:b/>
          <w:color w:val="auto"/>
          <w:sz w:val="24"/>
          <w:szCs w:val="24"/>
        </w:rPr>
        <w:t>zasad ochrony dziedzictwa kulturowego i zabytków, w tym krajobrazów kulturowych:</w:t>
      </w:r>
    </w:p>
    <w:p w:rsidR="00B905F0" w:rsidRPr="00BE09B8" w:rsidRDefault="00B905F0" w:rsidP="00B905F0">
      <w:pPr>
        <w:numPr>
          <w:ilvl w:val="0"/>
          <w:numId w:val="10"/>
        </w:numPr>
        <w:spacing w:after="0" w:line="240" w:lineRule="auto"/>
        <w:ind w:left="567" w:hanging="283"/>
        <w:rPr>
          <w:sz w:val="24"/>
          <w:szCs w:val="24"/>
        </w:rPr>
      </w:pPr>
      <w:r w:rsidRPr="00BE09B8">
        <w:rPr>
          <w:sz w:val="24"/>
          <w:szCs w:val="24"/>
        </w:rPr>
        <w:t>dla obszaru tożsamego z granicami terenu oznaczonego w planie symbolem U wyznacza się strefę obserwacji zabytków archeologicznych objętych ochroną w planie;</w:t>
      </w:r>
    </w:p>
    <w:p w:rsidR="00B905F0" w:rsidRPr="00BE09B8" w:rsidRDefault="00B905F0" w:rsidP="00B905F0">
      <w:pPr>
        <w:numPr>
          <w:ilvl w:val="0"/>
          <w:numId w:val="10"/>
        </w:numPr>
        <w:spacing w:after="0" w:line="240" w:lineRule="auto"/>
        <w:ind w:left="567" w:hanging="283"/>
        <w:rPr>
          <w:sz w:val="24"/>
          <w:szCs w:val="24"/>
        </w:rPr>
      </w:pPr>
      <w:r w:rsidRPr="00BE09B8">
        <w:rPr>
          <w:sz w:val="24"/>
          <w:szCs w:val="24"/>
        </w:rPr>
        <w:t>dla strefy obserwacji zabytków archeologicznych objętych ochroną w planie:</w:t>
      </w:r>
    </w:p>
    <w:p w:rsidR="00B905F0" w:rsidRDefault="00B905F0" w:rsidP="00B905F0">
      <w:pPr>
        <w:pStyle w:val="Akapitzlist"/>
        <w:numPr>
          <w:ilvl w:val="0"/>
          <w:numId w:val="11"/>
        </w:numPr>
        <w:spacing w:after="0" w:line="240" w:lineRule="auto"/>
        <w:ind w:left="851" w:hanging="284"/>
        <w:rPr>
          <w:sz w:val="24"/>
          <w:szCs w:val="24"/>
        </w:rPr>
      </w:pPr>
      <w:r w:rsidRPr="00BE09B8">
        <w:rPr>
          <w:sz w:val="24"/>
          <w:szCs w:val="24"/>
        </w:rPr>
        <w:t>z uwagi na ochronę wartości zabytków archeologicznych w obszarze nowożytnego siedliska</w:t>
      </w:r>
      <w:r>
        <w:rPr>
          <w:sz w:val="24"/>
          <w:szCs w:val="24"/>
        </w:rPr>
        <w:t xml:space="preserve"> wsi o metryce średniowiecznej, dla inwestycji związanych z pracami ziemnymi o charakterze inwestycyjnym obowiązują przepisy odrębne;</w:t>
      </w:r>
    </w:p>
    <w:p w:rsidR="00B905F0" w:rsidRDefault="00B905F0" w:rsidP="00B905F0">
      <w:pPr>
        <w:pStyle w:val="Akapitzlist"/>
        <w:numPr>
          <w:ilvl w:val="0"/>
          <w:numId w:val="11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podczas prowadzenia robót ziemnych lub dokonywania zmiany charakteru dotychczasowej działalności na terenie, może zaistnieć wymóg przeprowadzenia badań archeologicznych w oparciu o przepisy odrębne;</w:t>
      </w:r>
    </w:p>
    <w:p w:rsidR="00B905F0" w:rsidRDefault="00B905F0" w:rsidP="00B905F0">
      <w:pPr>
        <w:pStyle w:val="Akapitzlist"/>
        <w:numPr>
          <w:ilvl w:val="0"/>
          <w:numId w:val="10"/>
        </w:numPr>
        <w:spacing w:after="0" w:line="240" w:lineRule="auto"/>
        <w:ind w:left="709" w:hanging="368"/>
        <w:rPr>
          <w:sz w:val="24"/>
          <w:szCs w:val="24"/>
        </w:rPr>
      </w:pPr>
      <w:r>
        <w:rPr>
          <w:sz w:val="24"/>
          <w:szCs w:val="24"/>
        </w:rPr>
        <w:t xml:space="preserve">ustala się ochronę potencjalnych zabytków archeologicznych pozyskanych w trakcie prowadzenia prac ziemnych, wszelkie przedmioty pozyskane w trakcie tych prac podlegają ochronie prawnej na mocy przepisów odrębnych. </w:t>
      </w:r>
    </w:p>
    <w:p w:rsidR="00B905F0" w:rsidRDefault="00B905F0" w:rsidP="00B905F0">
      <w:pPr>
        <w:pStyle w:val="Akapitzlist"/>
        <w:spacing w:after="0" w:line="240" w:lineRule="auto"/>
        <w:ind w:left="563" w:firstLine="0"/>
        <w:rPr>
          <w:sz w:val="24"/>
          <w:szCs w:val="24"/>
        </w:rPr>
      </w:pPr>
    </w:p>
    <w:p w:rsidR="00B905F0" w:rsidRDefault="00B905F0" w:rsidP="00B905F0">
      <w:pPr>
        <w:spacing w:after="98" w:line="254" w:lineRule="auto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§ 6. </w:t>
      </w: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granic i sposobów zagospodarowania terenów lub obiektów podlegających ochronie na podstawie odrębnych przepisów, terenów górniczych:</w:t>
      </w:r>
    </w:p>
    <w:p w:rsidR="00B905F0" w:rsidRDefault="00B905F0" w:rsidP="00B905F0">
      <w:pPr>
        <w:pStyle w:val="Tekstpodstawowywcity"/>
        <w:numPr>
          <w:ilvl w:val="0"/>
          <w:numId w:val="12"/>
        </w:numPr>
        <w:spacing w:after="0"/>
        <w:ind w:left="567" w:hanging="284"/>
        <w:rPr>
          <w:sz w:val="24"/>
          <w:szCs w:val="24"/>
        </w:rPr>
      </w:pPr>
      <w:r>
        <w:rPr>
          <w:sz w:val="24"/>
          <w:szCs w:val="24"/>
        </w:rPr>
        <w:t>na rysunku planu oznaczono granice udokumentowanych złóż, terenów i obszarów górniczych, dla których obowiązują przepisy odrębne;</w:t>
      </w:r>
    </w:p>
    <w:p w:rsidR="00B905F0" w:rsidRDefault="00B905F0" w:rsidP="00B905F0">
      <w:pPr>
        <w:pStyle w:val="Tekstpodstawowywcity"/>
        <w:numPr>
          <w:ilvl w:val="0"/>
          <w:numId w:val="12"/>
        </w:numPr>
        <w:spacing w:after="0"/>
        <w:ind w:left="567" w:hanging="284"/>
        <w:rPr>
          <w:sz w:val="24"/>
          <w:szCs w:val="24"/>
        </w:rPr>
      </w:pPr>
      <w:r>
        <w:rPr>
          <w:sz w:val="24"/>
          <w:szCs w:val="24"/>
        </w:rPr>
        <w:t>oznacza się na rysunku planu miejscowego strefę kontrolowaną od istniejącego gazociągu</w:t>
      </w:r>
      <w:r w:rsidR="00BE09B8">
        <w:rPr>
          <w:sz w:val="24"/>
          <w:szCs w:val="24"/>
        </w:rPr>
        <w:t xml:space="preserve"> średniego ciśnienia</w:t>
      </w:r>
      <w:r>
        <w:rPr>
          <w:sz w:val="24"/>
          <w:szCs w:val="24"/>
        </w:rPr>
        <w:t>, dla której:</w:t>
      </w:r>
    </w:p>
    <w:p w:rsidR="00B905F0" w:rsidRDefault="00B905F0" w:rsidP="00B905F0">
      <w:pPr>
        <w:pStyle w:val="Akapitzlist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szerokość wynika z przepisów odrębnych,</w:t>
      </w:r>
    </w:p>
    <w:p w:rsidR="00B905F0" w:rsidRDefault="00B905F0" w:rsidP="00B905F0">
      <w:pPr>
        <w:pStyle w:val="Akapitzlist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obowiązują ograniczenia wynikające z przepisów odrębnych;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§ 7. </w:t>
      </w: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szczegółowych warunków zagospodarowania terenów oraz ograniczenia w ich użytkowaniu, w tym zakazu zabudowy:</w:t>
      </w:r>
      <w:r>
        <w:rPr>
          <w:sz w:val="24"/>
          <w:szCs w:val="24"/>
        </w:rPr>
        <w:t xml:space="preserve"> na wszystkich terenach oznaczonych na rysunku planu miejscowego symbolami</w:t>
      </w:r>
      <w:r w:rsidR="00BE09B8">
        <w:rPr>
          <w:sz w:val="24"/>
          <w:szCs w:val="24"/>
        </w:rPr>
        <w:t>:</w:t>
      </w:r>
      <w:r>
        <w:rPr>
          <w:sz w:val="24"/>
          <w:szCs w:val="24"/>
        </w:rPr>
        <w:t xml:space="preserve"> ZKK, </w:t>
      </w:r>
      <w:r w:rsidR="00BE09B8">
        <w:rPr>
          <w:sz w:val="24"/>
          <w:szCs w:val="24"/>
        </w:rPr>
        <w:t>RE i</w:t>
      </w:r>
      <w:r>
        <w:rPr>
          <w:sz w:val="24"/>
          <w:szCs w:val="24"/>
        </w:rPr>
        <w:t xml:space="preserve"> WS obowiązuje zakaz lokalizacji nowych budynków;</w:t>
      </w:r>
    </w:p>
    <w:p w:rsidR="00B905F0" w:rsidRDefault="00B905F0" w:rsidP="00B905F0">
      <w:pPr>
        <w:pStyle w:val="Akapitzlist"/>
        <w:spacing w:after="0" w:line="240" w:lineRule="auto"/>
        <w:ind w:left="567" w:firstLine="0"/>
        <w:rPr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§ 8. </w:t>
      </w:r>
      <w:r>
        <w:rPr>
          <w:color w:val="auto"/>
          <w:sz w:val="24"/>
          <w:szCs w:val="24"/>
        </w:rPr>
        <w:t xml:space="preserve">1. W zakresie </w:t>
      </w:r>
      <w:r>
        <w:rPr>
          <w:b/>
          <w:color w:val="auto"/>
          <w:sz w:val="24"/>
          <w:szCs w:val="24"/>
        </w:rPr>
        <w:t xml:space="preserve">zasad modernizacji, rozbudowy i budowy systemu komunikacji </w:t>
      </w:r>
      <w:r>
        <w:rPr>
          <w:color w:val="auto"/>
          <w:sz w:val="24"/>
          <w:szCs w:val="24"/>
        </w:rPr>
        <w:t>ustala się:</w:t>
      </w:r>
    </w:p>
    <w:p w:rsidR="00B905F0" w:rsidRDefault="00B905F0" w:rsidP="00B905F0">
      <w:pPr>
        <w:numPr>
          <w:ilvl w:val="0"/>
          <w:numId w:val="1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powiązanie obszaru z zewnętrznym układem komunikacji drogowej:</w:t>
      </w:r>
    </w:p>
    <w:p w:rsidR="00B905F0" w:rsidRDefault="00B905F0" w:rsidP="00B905F0">
      <w:pPr>
        <w:pStyle w:val="Akapitzlist"/>
        <w:numPr>
          <w:ilvl w:val="1"/>
          <w:numId w:val="14"/>
        </w:numPr>
        <w:spacing w:after="0" w:line="240" w:lineRule="auto"/>
        <w:ind w:left="851" w:hanging="288"/>
        <w:rPr>
          <w:sz w:val="24"/>
          <w:szCs w:val="24"/>
        </w:rPr>
      </w:pPr>
      <w:r>
        <w:rPr>
          <w:sz w:val="24"/>
          <w:szCs w:val="24"/>
        </w:rPr>
        <w:t xml:space="preserve"> dla terenu oznaczonego w planie symbolem PG poprzez przyległy teren działalności górniczej, posiadający dostęp do drogi publicznej,</w:t>
      </w:r>
    </w:p>
    <w:p w:rsidR="00B905F0" w:rsidRDefault="00B905F0" w:rsidP="00B905F0">
      <w:pPr>
        <w:pStyle w:val="Akapitzlist"/>
        <w:numPr>
          <w:ilvl w:val="1"/>
          <w:numId w:val="14"/>
        </w:numPr>
        <w:spacing w:after="0" w:line="240" w:lineRule="auto"/>
        <w:ind w:left="851" w:hanging="288"/>
        <w:rPr>
          <w:sz w:val="24"/>
          <w:szCs w:val="24"/>
        </w:rPr>
      </w:pPr>
      <w:r>
        <w:rPr>
          <w:sz w:val="24"/>
          <w:szCs w:val="24"/>
        </w:rPr>
        <w:t xml:space="preserve"> dla pozostałych terenów poprzez istniejące drogi publiczne sąsiadujące bezpośrednio z obszarem opracowania planu;</w:t>
      </w:r>
    </w:p>
    <w:p w:rsidR="00B905F0" w:rsidRDefault="00B905F0" w:rsidP="00B905F0">
      <w:pPr>
        <w:numPr>
          <w:ilvl w:val="0"/>
          <w:numId w:val="14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ustala się możliwość wydzielenia wewnętrznych ciągów komunikacyjnych dla pojazdów i pieszych w ramach ustalonego przeznaczenia o parametrach odpowiadający</w:t>
      </w:r>
      <w:r w:rsidR="008504BF">
        <w:rPr>
          <w:sz w:val="24"/>
          <w:szCs w:val="24"/>
        </w:rPr>
        <w:t>ch</w:t>
      </w:r>
      <w:r>
        <w:rPr>
          <w:sz w:val="24"/>
          <w:szCs w:val="24"/>
        </w:rPr>
        <w:t xml:space="preserve"> parametrom dróg pożarowych ustalonych w przepisach odrębnych, o szerokości nie mniejszej niż 4,5 m.</w:t>
      </w:r>
    </w:p>
    <w:p w:rsidR="00B905F0" w:rsidRDefault="00B905F0" w:rsidP="00B905F0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Na terenie oznaczonym symbolem U ustala się minimalną liczbę miejsc do parkowania w tym miejsca przeznaczone na parkowanie pojazdów zaopatrzonych w kartę parkingową:</w:t>
      </w:r>
    </w:p>
    <w:p w:rsidR="00B905F0" w:rsidRDefault="00B905F0" w:rsidP="00B905F0">
      <w:pPr>
        <w:pStyle w:val="Akapitzlist"/>
        <w:numPr>
          <w:ilvl w:val="0"/>
          <w:numId w:val="16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1 miejsce na każde rozpoczęte 30 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powierzchni użytkowej dla funkcji usługowych z zakresu administracji;</w:t>
      </w:r>
    </w:p>
    <w:p w:rsidR="00B905F0" w:rsidRDefault="00B905F0" w:rsidP="00B905F0">
      <w:pPr>
        <w:pStyle w:val="Akapitzlist"/>
        <w:numPr>
          <w:ilvl w:val="0"/>
          <w:numId w:val="16"/>
        </w:numPr>
        <w:spacing w:after="0" w:line="240" w:lineRule="auto"/>
        <w:ind w:left="567" w:hanging="283"/>
      </w:pPr>
      <w:r>
        <w:rPr>
          <w:sz w:val="24"/>
          <w:szCs w:val="24"/>
        </w:rPr>
        <w:t>1 miejsce na 2 zatrudnionych w zabudowie związanej z działalnością górniczą;</w:t>
      </w:r>
    </w:p>
    <w:p w:rsidR="00B905F0" w:rsidRDefault="00B905F0" w:rsidP="00B905F0">
      <w:pPr>
        <w:pStyle w:val="Akapitzlist"/>
        <w:numPr>
          <w:ilvl w:val="0"/>
          <w:numId w:val="16"/>
        </w:numPr>
        <w:spacing w:after="0" w:line="240" w:lineRule="auto"/>
        <w:ind w:left="567" w:hanging="283"/>
      </w:pPr>
      <w:r>
        <w:rPr>
          <w:sz w:val="24"/>
          <w:szCs w:val="24"/>
        </w:rPr>
        <w:t>z wynikowej liczby miejsc do parkowania realizowanych na podstawie pkt 1-2, na obszarach i terenach innych niż drogi publiczne, strefy zamieszkania i strefy ruchu, ustala się liczbę miejsc przeznaczonych na parkowanie pojazdów zaopatrzonych w kartę parkingową w ilości:</w:t>
      </w:r>
    </w:p>
    <w:p w:rsidR="00B905F0" w:rsidRDefault="00B905F0" w:rsidP="00B905F0">
      <w:pPr>
        <w:pStyle w:val="Akapitzlist"/>
        <w:numPr>
          <w:ilvl w:val="0"/>
          <w:numId w:val="1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5% lecz nie mniej niż 1 miejsce dla zabudowy zawierającej funkcje usługowe,</w:t>
      </w:r>
    </w:p>
    <w:p w:rsidR="00B905F0" w:rsidRDefault="00B905F0" w:rsidP="00B905F0">
      <w:pPr>
        <w:pStyle w:val="Akapitzlist"/>
        <w:numPr>
          <w:ilvl w:val="0"/>
          <w:numId w:val="1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1% lecz nie mniej niż 1 miejsce dla zabudowy związanej z działalnością górniczą;</w:t>
      </w:r>
    </w:p>
    <w:p w:rsidR="00B905F0" w:rsidRDefault="00B905F0" w:rsidP="00B905F0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Miejsca do parkowania, o których mowa w ust. 2 należy urządzić:</w:t>
      </w:r>
    </w:p>
    <w:p w:rsidR="00B905F0" w:rsidRDefault="00B905F0" w:rsidP="00B905F0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w formie: placów postojowych, garaży wbudowanych lub wolnostojących, jedno lub wielostanowiskowych;</w:t>
      </w:r>
    </w:p>
    <w:p w:rsidR="00B905F0" w:rsidRDefault="00B905F0" w:rsidP="00B905F0">
      <w:pPr>
        <w:numPr>
          <w:ilvl w:val="0"/>
          <w:numId w:val="18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w granicach terenu, na którym zlokalizowane są lokale i obiekty, dla których ilość tych miejsc jest liczona.</w:t>
      </w:r>
    </w:p>
    <w:p w:rsidR="00B905F0" w:rsidRDefault="00B905F0" w:rsidP="00B905F0">
      <w:pPr>
        <w:pStyle w:val="Akapitzlist"/>
        <w:numPr>
          <w:ilvl w:val="0"/>
          <w:numId w:val="15"/>
        </w:num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Wynik obliczeń ilości miejsc do parkowania, o których mowa w ust. 2 należy zaokrąglić do pełnej liczby w górę.</w:t>
      </w:r>
    </w:p>
    <w:p w:rsidR="00B905F0" w:rsidRDefault="00B905F0" w:rsidP="00B905F0">
      <w:pPr>
        <w:pStyle w:val="Akapitzlist"/>
        <w:spacing w:after="0" w:line="240" w:lineRule="auto"/>
        <w:ind w:left="284" w:firstLine="0"/>
        <w:rPr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§ 9. W zakresie zasad modernizacji, rozbudowy i budowy systemu infrastruktury technicznej ustala się: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dla infrastruktury pełniącej funkcję przesyłową - dopuszczenie przebudowy oraz remontów obiektów liniowych i sieci uzbrojenia terenu na całym obszarze objętym opracowaniem planu miejscowego, zgodnie z przepisami odrębnymi;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dla infrastruktury pełniącej funkcję dystrybucyjną:</w:t>
      </w:r>
    </w:p>
    <w:p w:rsidR="00B905F0" w:rsidRDefault="00B905F0" w:rsidP="00B905F0">
      <w:pPr>
        <w:pStyle w:val="Akapitzlist"/>
        <w:numPr>
          <w:ilvl w:val="0"/>
          <w:numId w:val="2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rozbudowę i lokalizację nowych obiektów liniowych i sieci uzbrojenia terenu na wszystkich terenach, przy czym lokalizacja tych obiektów nie może uniemożliwiać zagospodarowania terenu zgodnie z jego przeznaczeniem;</w:t>
      </w:r>
    </w:p>
    <w:p w:rsidR="00B905F0" w:rsidRDefault="00B905F0" w:rsidP="00B905F0">
      <w:pPr>
        <w:pStyle w:val="Akapitzlist"/>
        <w:numPr>
          <w:ilvl w:val="0"/>
          <w:numId w:val="2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lokalizację nowych obiektów liniowych i sieci uzbrojenia terenu w sposób zapewniający dostęp w celu ich naprawy lub konserwacji bezpośrednio z dróg publicznych lub z innych dróg posiadających dostęp do drogi publicznej;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należy zapewnić połączenie infrastruktury technicznej na obszarze objętym planem miejscowym z układem zewnętrznym, przy uwzględnieniu parametrów spójnych z parametrami układu zewnętrznego;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zaopatrzenie w wodę z sieci wodociągowej lub z ujęć indywidualnych;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odprowadzenia ścieków:</w:t>
      </w:r>
    </w:p>
    <w:p w:rsidR="00B905F0" w:rsidRDefault="00B905F0" w:rsidP="00B905F0">
      <w:pPr>
        <w:pStyle w:val="Akapitzlist"/>
        <w:numPr>
          <w:ilvl w:val="0"/>
          <w:numId w:val="21"/>
        </w:numPr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 bytowo-komunalnych ustala się odprowadzenie ze wszystkich obiektów budowlanych:</w:t>
      </w:r>
    </w:p>
    <w:p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do gminnej sieci kanalizacyjnej, zgodnie z wymogami przepisów odrębnych dotyczących gospodarki wodami,</w:t>
      </w:r>
    </w:p>
    <w:p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do bezodpływowych zbiorników na nieczystości ciekłe,</w:t>
      </w:r>
    </w:p>
    <w:p w:rsidR="00B905F0" w:rsidRDefault="00B905F0" w:rsidP="00B905F0">
      <w:pPr>
        <w:pStyle w:val="Akapitzlist"/>
        <w:numPr>
          <w:ilvl w:val="0"/>
          <w:numId w:val="21"/>
        </w:numPr>
        <w:spacing w:after="0" w:line="240" w:lineRule="auto"/>
        <w:ind w:hanging="284"/>
        <w:rPr>
          <w:sz w:val="24"/>
          <w:szCs w:val="24"/>
        </w:rPr>
      </w:pPr>
      <w:r>
        <w:rPr>
          <w:sz w:val="24"/>
          <w:szCs w:val="24"/>
        </w:rPr>
        <w:t xml:space="preserve">innych niż bytowo-komunalne </w:t>
      </w:r>
      <w:r w:rsidR="008504BF">
        <w:rPr>
          <w:sz w:val="24"/>
          <w:szCs w:val="24"/>
        </w:rPr>
        <w:t xml:space="preserve">– </w:t>
      </w:r>
      <w:r>
        <w:rPr>
          <w:sz w:val="24"/>
          <w:szCs w:val="24"/>
        </w:rPr>
        <w:t>należy postępować zgodnie z obowiązującymi przepisami odrębnymi;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odprowadzenia wód opadowych i roztopowych</w:t>
      </w:r>
      <w:r>
        <w:rPr>
          <w:sz w:val="24"/>
          <w:szCs w:val="24"/>
        </w:rPr>
        <w:t xml:space="preserve"> dopuszcza się stosowanie studni chłonnych oraz odprowadzanie wód opadowych i roztopowych na nieutwardzony teren działki budowlanej;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zaopatrzenia w energię elektryczną</w:t>
      </w:r>
      <w:r>
        <w:rPr>
          <w:sz w:val="24"/>
          <w:szCs w:val="24"/>
        </w:rPr>
        <w:t>:</w:t>
      </w:r>
    </w:p>
    <w:p w:rsidR="00B905F0" w:rsidRDefault="00B905F0" w:rsidP="00B905F0">
      <w:pPr>
        <w:pStyle w:val="Akapitzlist"/>
        <w:numPr>
          <w:ilvl w:val="0"/>
          <w:numId w:val="22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rozbudowę sieci dystrybucyjnej: w postaci stacji transformatorowych, linii napowietrznych oraz linii doziemnych, zgodnie z przepisami odrębnymi,</w:t>
      </w:r>
    </w:p>
    <w:p w:rsidR="00B905F0" w:rsidRDefault="00B905F0" w:rsidP="00B905F0">
      <w:pPr>
        <w:pStyle w:val="Akapitzlist"/>
        <w:numPr>
          <w:ilvl w:val="0"/>
          <w:numId w:val="22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zaopatrzenie odbiorców w energię elektryczną z elektroenergetycznej sieci dystrybucyjnej na warunkach określonych w przepisach odrębnych;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 xml:space="preserve">zaopatrzenia w gaz </w:t>
      </w:r>
      <w:r>
        <w:rPr>
          <w:bCs/>
          <w:sz w:val="24"/>
          <w:szCs w:val="24"/>
        </w:rPr>
        <w:t>dla terenu oznaczonego symbolem U</w:t>
      </w:r>
      <w:r>
        <w:rPr>
          <w:sz w:val="24"/>
          <w:szCs w:val="24"/>
        </w:rPr>
        <w:t>:</w:t>
      </w:r>
    </w:p>
    <w:p w:rsidR="00B905F0" w:rsidRDefault="00B905F0" w:rsidP="00B905F0">
      <w:pPr>
        <w:pStyle w:val="Akapitzlist"/>
        <w:numPr>
          <w:ilvl w:val="0"/>
          <w:numId w:val="2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budowę, rozbudowę i przebudowę gazowej sieci dystrybucyjnej w postaci napowietrznej i doziemnej,</w:t>
      </w:r>
    </w:p>
    <w:p w:rsidR="00B905F0" w:rsidRDefault="00B905F0" w:rsidP="00B905F0">
      <w:pPr>
        <w:pStyle w:val="Akapitzlist"/>
        <w:numPr>
          <w:ilvl w:val="0"/>
          <w:numId w:val="2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zaopatrzenie w gaz ze zbiorników zlokalizowanych w granicach działek;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b/>
          <w:sz w:val="24"/>
          <w:szCs w:val="24"/>
        </w:rPr>
        <w:t xml:space="preserve">zaopatrzenie w ciepło </w:t>
      </w:r>
      <w:r>
        <w:rPr>
          <w:sz w:val="24"/>
          <w:szCs w:val="24"/>
        </w:rPr>
        <w:t xml:space="preserve"> z indywidualnych źródeł w oparciu o dopuszczalne przepisami odrębnymi czynniki, dopuszcza się instalacje do pozyskiwania energii ze źródeł odnawialnych o mocy do 100 kW;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w zakresie </w:t>
      </w:r>
      <w:r>
        <w:rPr>
          <w:b/>
          <w:sz w:val="24"/>
          <w:szCs w:val="24"/>
        </w:rPr>
        <w:t>telekomunikacji</w:t>
      </w:r>
      <w:r>
        <w:rPr>
          <w:sz w:val="24"/>
          <w:szCs w:val="24"/>
        </w:rPr>
        <w:t xml:space="preserve"> dopuszcza się rozbudowę i budowę sieci telekomunikacyjnych dystrybucyjnych i abonenckich w postaci:</w:t>
      </w:r>
    </w:p>
    <w:p w:rsidR="00B905F0" w:rsidRDefault="00B905F0" w:rsidP="00B905F0">
      <w:pPr>
        <w:pStyle w:val="Akapitzlist"/>
        <w:numPr>
          <w:ilvl w:val="1"/>
          <w:numId w:val="14"/>
        </w:numPr>
        <w:spacing w:after="0" w:line="240" w:lineRule="auto"/>
        <w:ind w:left="851" w:hanging="288"/>
        <w:rPr>
          <w:sz w:val="24"/>
          <w:szCs w:val="24"/>
        </w:rPr>
      </w:pPr>
      <w:r>
        <w:rPr>
          <w:sz w:val="24"/>
          <w:szCs w:val="24"/>
        </w:rPr>
        <w:t xml:space="preserve"> doziemnej,</w:t>
      </w:r>
    </w:p>
    <w:p w:rsidR="00B905F0" w:rsidRDefault="00B905F0" w:rsidP="00B905F0">
      <w:pPr>
        <w:pStyle w:val="Akapitzlist"/>
        <w:numPr>
          <w:ilvl w:val="1"/>
          <w:numId w:val="14"/>
        </w:numPr>
        <w:spacing w:after="0" w:line="240" w:lineRule="auto"/>
        <w:ind w:left="851" w:hanging="288"/>
        <w:rPr>
          <w:sz w:val="24"/>
          <w:szCs w:val="24"/>
        </w:rPr>
      </w:pPr>
      <w:r>
        <w:rPr>
          <w:sz w:val="24"/>
          <w:szCs w:val="24"/>
        </w:rPr>
        <w:t xml:space="preserve"> napowietrznej wyłącznie przy wykorzystaniu istniejącej podbudowy słupowej,</w:t>
      </w:r>
    </w:p>
    <w:p w:rsidR="00B905F0" w:rsidRDefault="00B905F0" w:rsidP="00B905F0">
      <w:pPr>
        <w:pStyle w:val="Akapitzlist"/>
        <w:numPr>
          <w:ilvl w:val="0"/>
          <w:numId w:val="19"/>
        </w:numPr>
        <w:spacing w:after="0"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zakresie </w:t>
      </w:r>
      <w:r>
        <w:rPr>
          <w:b/>
          <w:sz w:val="24"/>
          <w:szCs w:val="24"/>
        </w:rPr>
        <w:t>melioracji</w:t>
      </w:r>
      <w:r>
        <w:rPr>
          <w:sz w:val="24"/>
          <w:szCs w:val="24"/>
        </w:rPr>
        <w:t xml:space="preserve"> dopuszcza się realizację nowych odcinków rowów melioracyjnych oraz poszerzanie, zmianę przebiegu lub zarurowanie odcinków istniejących rowów zgodnie z wymaganiami przepisów odrębnych.</w:t>
      </w:r>
    </w:p>
    <w:p w:rsidR="00B905F0" w:rsidRDefault="00B905F0" w:rsidP="00B905F0">
      <w:pPr>
        <w:spacing w:after="0" w:line="240" w:lineRule="auto"/>
        <w:rPr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right="1" w:firstLine="0"/>
        <w:jc w:val="center"/>
        <w:rPr>
          <w:sz w:val="24"/>
        </w:rPr>
      </w:pPr>
      <w:r>
        <w:rPr>
          <w:b/>
          <w:sz w:val="24"/>
        </w:rPr>
        <w:t>Rozdział 2.</w:t>
      </w:r>
    </w:p>
    <w:p w:rsidR="00B905F0" w:rsidRDefault="00B905F0" w:rsidP="00B905F0">
      <w:pPr>
        <w:spacing w:after="0" w:line="240" w:lineRule="auto"/>
        <w:ind w:left="0" w:right="5" w:firstLine="0"/>
        <w:jc w:val="center"/>
        <w:rPr>
          <w:b/>
          <w:sz w:val="24"/>
        </w:rPr>
      </w:pPr>
      <w:r>
        <w:rPr>
          <w:b/>
          <w:sz w:val="24"/>
        </w:rPr>
        <w:t>USTALENIA DLA POSZCZEGÓLNYCH TERENÓW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:rsidR="00B905F0" w:rsidRDefault="00B905F0" w:rsidP="00F45BDB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10. </w:t>
      </w:r>
      <w:r>
        <w:rPr>
          <w:sz w:val="24"/>
          <w:szCs w:val="24"/>
        </w:rPr>
        <w:t xml:space="preserve">Dla terenu oznaczonego na rysunku planu miejscowego symbolem </w:t>
      </w:r>
      <w:r>
        <w:rPr>
          <w:b/>
          <w:sz w:val="24"/>
          <w:szCs w:val="24"/>
        </w:rPr>
        <w:t xml:space="preserve">U – tereny zabudowy usługowej </w:t>
      </w:r>
      <w:r>
        <w:rPr>
          <w:sz w:val="24"/>
          <w:szCs w:val="24"/>
        </w:rPr>
        <w:t>ustala się:</w:t>
      </w:r>
    </w:p>
    <w:p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usługi – przez co rozumie się budynki lub lokale w budynkach służące działalności z zakresu administracji podmiotu gospodarczego wraz z niezbędnym zapleczem technicznym,</w:t>
      </w:r>
    </w:p>
    <w:p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funkcyjne lokale mieszkalne powiązane z prowadzoną działalnością,</w:t>
      </w:r>
    </w:p>
    <w:p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budynki gospodarcze i garaże wolnostojące,</w:t>
      </w:r>
    </w:p>
    <w:p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komunikacja – przez co rozumie się niewydzielone drogi wewnętrzne, ciągi piesze i zespoły parkingowe,</w:t>
      </w:r>
    </w:p>
    <w:p w:rsidR="00B905F0" w:rsidRDefault="00B905F0" w:rsidP="00B905F0">
      <w:pPr>
        <w:numPr>
          <w:ilvl w:val="0"/>
          <w:numId w:val="25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zieleń urządzona – przez co rozumie się zieleń w układzie skończonej kompozycji o dowolnej wysokości w postaci, trawników, zieleńców i ogrodów;</w:t>
      </w:r>
    </w:p>
    <w:p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:rsidR="00B905F0" w:rsidRDefault="00B905F0" w:rsidP="00B905F0">
      <w:pPr>
        <w:numPr>
          <w:ilvl w:val="1"/>
          <w:numId w:val="2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minimalny udział powierzchni biologicznie czynnej dla działki budowlanej: 30%,</w:t>
      </w:r>
    </w:p>
    <w:p w:rsidR="00B905F0" w:rsidRDefault="00B905F0" w:rsidP="00B905F0">
      <w:pPr>
        <w:numPr>
          <w:ilvl w:val="1"/>
          <w:numId w:val="2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maksymalną intensywność zabudowy działki budowlanej: 1,0,</w:t>
      </w:r>
    </w:p>
    <w:p w:rsidR="00B905F0" w:rsidRDefault="00B905F0" w:rsidP="00B905F0">
      <w:pPr>
        <w:numPr>
          <w:ilvl w:val="1"/>
          <w:numId w:val="2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minimalną intensywność zabudowy działki budowlanej: 0,02,</w:t>
      </w:r>
    </w:p>
    <w:p w:rsidR="00B905F0" w:rsidRDefault="00B905F0" w:rsidP="00B905F0">
      <w:pPr>
        <w:numPr>
          <w:ilvl w:val="1"/>
          <w:numId w:val="2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stosunek powierzchni zabudowy do powierzchni działki nie większy niż: 0,5;</w:t>
      </w:r>
    </w:p>
    <w:p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gabaryty i wysokość zabudowy:</w:t>
      </w:r>
    </w:p>
    <w:p w:rsidR="00B905F0" w:rsidRDefault="00B905F0" w:rsidP="00B905F0">
      <w:pPr>
        <w:pStyle w:val="Akapitzlist"/>
        <w:numPr>
          <w:ilvl w:val="0"/>
          <w:numId w:val="2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maksymalna wysokość zabudowy dla budynków: 14,0 m,</w:t>
      </w:r>
    </w:p>
    <w:p w:rsidR="00B905F0" w:rsidRDefault="00B905F0" w:rsidP="00B905F0">
      <w:pPr>
        <w:pStyle w:val="Akapitzlist"/>
        <w:numPr>
          <w:ilvl w:val="0"/>
          <w:numId w:val="2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geometria dachów:</w:t>
      </w:r>
    </w:p>
    <w:p w:rsidR="00B905F0" w:rsidRDefault="00B905F0" w:rsidP="00B905F0">
      <w:pPr>
        <w:pStyle w:val="Akapitzlist"/>
        <w:spacing w:after="0" w:line="24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- ustala się dachy symetryczne o nachyleniu głównych połaci w zakresie 35</w:t>
      </w:r>
      <w:r>
        <w:rPr>
          <w:sz w:val="24"/>
        </w:rPr>
        <w:t>°</w:t>
      </w:r>
      <w:r>
        <w:rPr>
          <w:sz w:val="24"/>
          <w:szCs w:val="24"/>
        </w:rPr>
        <w:t xml:space="preserve"> do 45</w:t>
      </w:r>
      <w:r>
        <w:rPr>
          <w:sz w:val="24"/>
        </w:rPr>
        <w:t>° lub dachy płaskie</w:t>
      </w:r>
      <w:r>
        <w:rPr>
          <w:sz w:val="24"/>
          <w:szCs w:val="24"/>
        </w:rPr>
        <w:t>,</w:t>
      </w:r>
    </w:p>
    <w:p w:rsidR="00B905F0" w:rsidRDefault="00B905F0" w:rsidP="00B905F0">
      <w:pPr>
        <w:pStyle w:val="Akapitzlist"/>
        <w:spacing w:after="0" w:line="24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- dopuszcza się stosowanie dachów mansardowych o nachyleniu połaci innym, niż wymienione w tiret pierwsze,</w:t>
      </w:r>
    </w:p>
    <w:p w:rsidR="00B905F0" w:rsidRDefault="00B905F0" w:rsidP="00B905F0">
      <w:pPr>
        <w:pStyle w:val="Akapitzlist"/>
        <w:spacing w:after="0" w:line="24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- nad częściami dobudowanymi do głównych brył budynków dopuszcza się dachy o połaci w zakresie 0</w:t>
      </w:r>
      <w:r>
        <w:rPr>
          <w:sz w:val="24"/>
        </w:rPr>
        <w:t>°</w:t>
      </w:r>
      <w:r>
        <w:rPr>
          <w:sz w:val="24"/>
          <w:szCs w:val="24"/>
        </w:rPr>
        <w:t xml:space="preserve"> do 45</w:t>
      </w:r>
      <w:r>
        <w:rPr>
          <w:sz w:val="24"/>
        </w:rPr>
        <w:t>°</w:t>
      </w:r>
      <w:r>
        <w:rPr>
          <w:sz w:val="24"/>
          <w:szCs w:val="24"/>
        </w:rPr>
        <w:t>,</w:t>
      </w:r>
    </w:p>
    <w:p w:rsidR="00B905F0" w:rsidRDefault="00B905F0" w:rsidP="00B905F0">
      <w:pPr>
        <w:pStyle w:val="Akapitzlist"/>
        <w:spacing w:after="0" w:line="240" w:lineRule="auto"/>
        <w:ind w:left="993" w:hanging="142"/>
        <w:rPr>
          <w:sz w:val="24"/>
          <w:szCs w:val="24"/>
        </w:rPr>
      </w:pPr>
      <w:r>
        <w:rPr>
          <w:sz w:val="24"/>
          <w:szCs w:val="24"/>
        </w:rPr>
        <w:t>- w istniejącej zabudowie o geometrii odmiennej od tiret pierwsze dopuszcza się przebudowy i modernizacje przy zachowaniu dotychczasowych parametrów;</w:t>
      </w:r>
    </w:p>
    <w:p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pokrycie dachów budynków o dachach innych niż płaskie: blacha na rąbek stojący, dachówka ceramiczna lub materiały imitujące dachówkę;</w:t>
      </w:r>
    </w:p>
    <w:p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obowiązuje zakaz stosowania materiałów wykończeniowych takich jak: blacha trapezowa, blacha falista oraz okładziny imitujące deskowania typu „sidding”;</w:t>
      </w:r>
    </w:p>
    <w:p w:rsidR="00B905F0" w:rsidRDefault="00B905F0" w:rsidP="00B905F0">
      <w:pPr>
        <w:numPr>
          <w:ilvl w:val="0"/>
          <w:numId w:val="24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kolorystykę dachów innych niż płaskie – ciemne czerwienie, brązy, szarości i czerń.</w:t>
      </w:r>
    </w:p>
    <w:p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</w:p>
    <w:p w:rsidR="00B905F0" w:rsidRDefault="00B905F0" w:rsidP="00F45BDB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11. </w:t>
      </w:r>
      <w:r>
        <w:rPr>
          <w:sz w:val="24"/>
          <w:szCs w:val="24"/>
        </w:rPr>
        <w:t xml:space="preserve">Dla terenu oznaczonego na rysunku planu symbolem </w:t>
      </w:r>
      <w:r>
        <w:rPr>
          <w:b/>
          <w:sz w:val="24"/>
          <w:szCs w:val="24"/>
        </w:rPr>
        <w:t xml:space="preserve">PG – tereny działalności górniczej </w:t>
      </w:r>
      <w:r>
        <w:rPr>
          <w:sz w:val="24"/>
          <w:szCs w:val="24"/>
        </w:rPr>
        <w:t>ustala się:</w:t>
      </w:r>
    </w:p>
    <w:p w:rsidR="00B905F0" w:rsidRDefault="00B905F0" w:rsidP="00B905F0">
      <w:pPr>
        <w:numPr>
          <w:ilvl w:val="0"/>
          <w:numId w:val="28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:rsidR="00B905F0" w:rsidRDefault="00B905F0" w:rsidP="00B905F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działalność górnicza - przez co rozumie się:</w:t>
      </w:r>
    </w:p>
    <w:p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zakłady górnicze,</w:t>
      </w:r>
    </w:p>
    <w:p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zwałowiska nakładu,</w:t>
      </w:r>
    </w:p>
    <w:p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transport urobku,</w:t>
      </w:r>
    </w:p>
    <w:p w:rsidR="00B905F0" w:rsidRDefault="00B905F0" w:rsidP="00B905F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budynki gospodarcze i garaże wolnostojące,</w:t>
      </w:r>
    </w:p>
    <w:p w:rsidR="00B905F0" w:rsidRDefault="00B905F0" w:rsidP="00B905F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komunikacja – przez co rozumie się niewydzielone drogi wewnętrzne, taśmociągi, place,</w:t>
      </w:r>
    </w:p>
    <w:p w:rsidR="00B905F0" w:rsidRDefault="00B905F0" w:rsidP="00B905F0">
      <w:pPr>
        <w:pStyle w:val="Akapitzlist"/>
        <w:numPr>
          <w:ilvl w:val="0"/>
          <w:numId w:val="29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kategorie zgodne z kierunkiem rekultywacji;</w:t>
      </w:r>
    </w:p>
    <w:p w:rsidR="00B905F0" w:rsidRDefault="00B905F0" w:rsidP="00B905F0">
      <w:pPr>
        <w:numPr>
          <w:ilvl w:val="0"/>
          <w:numId w:val="28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:rsidR="00B905F0" w:rsidRDefault="00B905F0" w:rsidP="00B905F0">
      <w:pPr>
        <w:numPr>
          <w:ilvl w:val="0"/>
          <w:numId w:val="3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minimalny udział powierzchni biologicznie czynnej dla działki budowlanej: 0,1%,</w:t>
      </w:r>
    </w:p>
    <w:p w:rsidR="00B905F0" w:rsidRDefault="00B905F0" w:rsidP="00B905F0">
      <w:pPr>
        <w:numPr>
          <w:ilvl w:val="0"/>
          <w:numId w:val="3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maksymalną intensywność zabudowy działki budowlanej: 1,0,</w:t>
      </w:r>
    </w:p>
    <w:p w:rsidR="00B905F0" w:rsidRDefault="00B905F0" w:rsidP="00B905F0">
      <w:pPr>
        <w:numPr>
          <w:ilvl w:val="0"/>
          <w:numId w:val="3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minimalną intensywność zabudowy działki budowlanej: 0,001,</w:t>
      </w:r>
    </w:p>
    <w:p w:rsidR="00B905F0" w:rsidRDefault="00B905F0" w:rsidP="00B905F0">
      <w:pPr>
        <w:numPr>
          <w:ilvl w:val="0"/>
          <w:numId w:val="30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stosunek powierzchni zabudowy do powierzchni działki nie większy niż: 0,75;</w:t>
      </w:r>
    </w:p>
    <w:p w:rsidR="00B905F0" w:rsidRDefault="00B905F0" w:rsidP="00B905F0">
      <w:pPr>
        <w:numPr>
          <w:ilvl w:val="0"/>
          <w:numId w:val="28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gabaryty i wysokość zabudowy:</w:t>
      </w:r>
    </w:p>
    <w:p w:rsidR="00B905F0" w:rsidRDefault="00B905F0" w:rsidP="00B905F0">
      <w:pPr>
        <w:numPr>
          <w:ilvl w:val="0"/>
          <w:numId w:val="31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maksymalna wysokość zabudowy dla budynków: 15,0 m,</w:t>
      </w:r>
    </w:p>
    <w:p w:rsidR="00B905F0" w:rsidRDefault="00B905F0" w:rsidP="00B905F0">
      <w:pPr>
        <w:numPr>
          <w:ilvl w:val="0"/>
          <w:numId w:val="31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dopuszcza się dowolną geometrię dachów;</w:t>
      </w:r>
    </w:p>
    <w:p w:rsidR="00B905F0" w:rsidRDefault="00B905F0" w:rsidP="00B905F0">
      <w:pPr>
        <w:numPr>
          <w:ilvl w:val="0"/>
          <w:numId w:val="28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dopuszczalne kierunki rekultywacji:</w:t>
      </w:r>
    </w:p>
    <w:p w:rsidR="00B905F0" w:rsidRDefault="00B905F0" w:rsidP="00B905F0">
      <w:pPr>
        <w:pStyle w:val="Akapitzlist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rekreacyjny,</w:t>
      </w:r>
    </w:p>
    <w:p w:rsidR="00B905F0" w:rsidRDefault="00B905F0" w:rsidP="00B905F0">
      <w:pPr>
        <w:pStyle w:val="Akapitzlist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kulturowy,</w:t>
      </w:r>
    </w:p>
    <w:p w:rsidR="00B905F0" w:rsidRDefault="00B905F0" w:rsidP="00B905F0">
      <w:pPr>
        <w:pStyle w:val="Akapitzlist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leśny, </w:t>
      </w:r>
    </w:p>
    <w:p w:rsidR="00B905F0" w:rsidRDefault="00B905F0" w:rsidP="00B905F0">
      <w:pPr>
        <w:pStyle w:val="Akapitzlist"/>
        <w:numPr>
          <w:ilvl w:val="1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dydaktyczny.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:rsidR="00B905F0" w:rsidRDefault="00B905F0" w:rsidP="00F45BDB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12. </w:t>
      </w:r>
      <w:r>
        <w:rPr>
          <w:sz w:val="24"/>
          <w:szCs w:val="24"/>
        </w:rPr>
        <w:t xml:space="preserve">Dla terenu oznaczonego na rysunku planu symbolem </w:t>
      </w:r>
      <w:r>
        <w:rPr>
          <w:b/>
          <w:sz w:val="24"/>
          <w:szCs w:val="24"/>
        </w:rPr>
        <w:t xml:space="preserve">TGKK – tereny transportu górniczego i załadunku z dopuszczeniem komunikacji kolejowej </w:t>
      </w:r>
      <w:r>
        <w:rPr>
          <w:sz w:val="24"/>
          <w:szCs w:val="24"/>
        </w:rPr>
        <w:t>ustala się:</w:t>
      </w:r>
    </w:p>
    <w:p w:rsidR="00B905F0" w:rsidRDefault="00B905F0" w:rsidP="00B905F0">
      <w:pPr>
        <w:numPr>
          <w:ilvl w:val="0"/>
          <w:numId w:val="32"/>
        </w:numPr>
        <w:spacing w:after="0" w:line="240" w:lineRule="auto"/>
        <w:ind w:left="567" w:hanging="351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transport i usługi związane z działalnością górniczą  – przez co rozumie się budowle i urządzenia służące działalności powiązanej z prowadzoną działalnością górniczą, z zakresu wskazanego poniżej oraz innego podobnego, niewymienionego w pozostałych kategoriach przeznaczenia terenu:</w:t>
      </w:r>
    </w:p>
    <w:p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transport górniczy,</w:t>
      </w:r>
    </w:p>
    <w:p w:rsidR="00B905F0" w:rsidRDefault="00B905F0" w:rsidP="00B905F0">
      <w:pPr>
        <w:pStyle w:val="Akapitzlist"/>
        <w:spacing w:after="0" w:line="240" w:lineRule="auto"/>
        <w:ind w:left="851" w:firstLine="0"/>
        <w:rPr>
          <w:sz w:val="24"/>
          <w:szCs w:val="24"/>
        </w:rPr>
      </w:pPr>
      <w:r>
        <w:rPr>
          <w:sz w:val="24"/>
          <w:szCs w:val="24"/>
        </w:rPr>
        <w:t>- magazynowanie i załadunek produktu,</w:t>
      </w:r>
    </w:p>
    <w:p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budynki socjalne i gospodarcze,</w:t>
      </w:r>
    </w:p>
    <w:p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zieleń urządzona – przez co rozumie się zieleń w układzie skończonej kompozycji o dowolnej wysokości służące ograniczeniu oddziaływania zakładu górniczego na tereny przyległe,</w:t>
      </w:r>
    </w:p>
    <w:p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komunikacja – przez co rozumie się niewydzielone drogi wewnętrzne, taśmociągi, place, ciągi,</w:t>
      </w:r>
    </w:p>
    <w:p w:rsidR="00B905F0" w:rsidRDefault="00B905F0" w:rsidP="00B905F0">
      <w:pPr>
        <w:pStyle w:val="Akapitzlist"/>
        <w:numPr>
          <w:ilvl w:val="0"/>
          <w:numId w:val="33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bocznice kolejowe;</w:t>
      </w:r>
    </w:p>
    <w:p w:rsidR="00B905F0" w:rsidRDefault="00B905F0" w:rsidP="00B905F0">
      <w:pPr>
        <w:numPr>
          <w:ilvl w:val="0"/>
          <w:numId w:val="32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:rsidR="00B905F0" w:rsidRDefault="00B905F0" w:rsidP="00B905F0">
      <w:pPr>
        <w:numPr>
          <w:ilvl w:val="0"/>
          <w:numId w:val="34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 xml:space="preserve">minimalny udział powierzchni biologicznie czynnej dla działki budowlanej: </w:t>
      </w:r>
      <w:r w:rsidR="00635632">
        <w:rPr>
          <w:sz w:val="24"/>
          <w:szCs w:val="24"/>
        </w:rPr>
        <w:t>1</w:t>
      </w:r>
      <w:r>
        <w:rPr>
          <w:sz w:val="24"/>
          <w:szCs w:val="24"/>
        </w:rPr>
        <w:t>0%,</w:t>
      </w:r>
    </w:p>
    <w:p w:rsidR="00B905F0" w:rsidRDefault="00B905F0" w:rsidP="00B905F0">
      <w:pPr>
        <w:numPr>
          <w:ilvl w:val="0"/>
          <w:numId w:val="34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maksymalną intensywność zabudowy działki budowlanej: 0,2,</w:t>
      </w:r>
    </w:p>
    <w:p w:rsidR="00B905F0" w:rsidRDefault="00B905F0" w:rsidP="00B905F0">
      <w:pPr>
        <w:numPr>
          <w:ilvl w:val="0"/>
          <w:numId w:val="34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minimalną intensywność zabudowy działki budowlanej: 0,01,</w:t>
      </w:r>
    </w:p>
    <w:p w:rsidR="00B905F0" w:rsidRDefault="00B905F0" w:rsidP="00B905F0">
      <w:pPr>
        <w:numPr>
          <w:ilvl w:val="0"/>
          <w:numId w:val="34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stosunek powierzchni zabudowy do powierzchni działki nie większy niż: 0,1;</w:t>
      </w:r>
    </w:p>
    <w:p w:rsidR="00B905F0" w:rsidRDefault="00B905F0" w:rsidP="00B905F0">
      <w:pPr>
        <w:numPr>
          <w:ilvl w:val="0"/>
          <w:numId w:val="32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maksymalna wysokość zabudowy dla budynków – 15,0 m, dla budowli – 20,0 m, z dopuszczeniem dowolnej geometrii dachów;</w:t>
      </w:r>
    </w:p>
    <w:p w:rsidR="00B905F0" w:rsidRDefault="00B905F0" w:rsidP="00B905F0">
      <w:pPr>
        <w:spacing w:after="0" w:line="240" w:lineRule="auto"/>
        <w:rPr>
          <w:sz w:val="24"/>
          <w:szCs w:val="24"/>
        </w:rPr>
      </w:pPr>
    </w:p>
    <w:p w:rsidR="00B905F0" w:rsidRDefault="00B905F0" w:rsidP="00F45BDB">
      <w:pPr>
        <w:tabs>
          <w:tab w:val="left" w:pos="5103"/>
        </w:tabs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14. </w:t>
      </w:r>
      <w:r>
        <w:rPr>
          <w:sz w:val="24"/>
          <w:szCs w:val="24"/>
        </w:rPr>
        <w:t xml:space="preserve">Dla terenu oznaczonego na rysunku planu miejscowego symbolem </w:t>
      </w:r>
      <w:r>
        <w:rPr>
          <w:b/>
          <w:sz w:val="24"/>
          <w:szCs w:val="24"/>
        </w:rPr>
        <w:t xml:space="preserve">ZKK – tereny zieleni z dopuszczeniem komunikacji kolejowej </w:t>
      </w:r>
      <w:r>
        <w:rPr>
          <w:sz w:val="24"/>
          <w:szCs w:val="24"/>
        </w:rPr>
        <w:t>ustala się:</w:t>
      </w:r>
    </w:p>
    <w:p w:rsidR="00B905F0" w:rsidRDefault="00B905F0" w:rsidP="00B905F0">
      <w:pPr>
        <w:numPr>
          <w:ilvl w:val="0"/>
          <w:numId w:val="35"/>
        </w:numPr>
        <w:spacing w:after="0" w:line="240" w:lineRule="auto"/>
        <w:ind w:left="0" w:firstLine="284"/>
        <w:rPr>
          <w:sz w:val="24"/>
        </w:rPr>
      </w:pPr>
      <w:r>
        <w:rPr>
          <w:sz w:val="24"/>
        </w:rPr>
        <w:t>kategorie przeznaczenia terenów:</w:t>
      </w:r>
    </w:p>
    <w:p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zieleń izolująca - przez co rozumie się zieleń wysoką i niską w układzie skończonej kompozycji w postaci szpalerów drzew i krzewów złożonych z gatunków o najlepszych zdolnościach przechwytywania pyłów powstających podczas załadunku kruszyw, z zastrzeżeniem pkt 2,</w:t>
      </w:r>
    </w:p>
    <w:p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zieleń niska – przez co rozumie się niezakomponowane otwarte tereny zielone bez drzew i krzewów,</w:t>
      </w:r>
    </w:p>
    <w:p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tory kolejowe bocznicy;</w:t>
      </w:r>
    </w:p>
    <w:p w:rsidR="00B905F0" w:rsidRDefault="00B905F0" w:rsidP="00B905F0">
      <w:pPr>
        <w:numPr>
          <w:ilvl w:val="0"/>
          <w:numId w:val="35"/>
        </w:numPr>
        <w:spacing w:after="0" w:line="240" w:lineRule="auto"/>
        <w:ind w:left="709" w:hanging="425"/>
        <w:rPr>
          <w:sz w:val="24"/>
        </w:rPr>
      </w:pPr>
      <w:r>
        <w:rPr>
          <w:sz w:val="24"/>
        </w:rPr>
        <w:t>od strony sąsiadującej z terenem istniejącej linii kolejowej, należy na terenie ograniczyć zasięg zieleni izolującej zgodnie z przepisami odrębnymi;</w:t>
      </w:r>
    </w:p>
    <w:p w:rsidR="00B905F0" w:rsidRDefault="00B905F0" w:rsidP="00B905F0">
      <w:pPr>
        <w:numPr>
          <w:ilvl w:val="0"/>
          <w:numId w:val="35"/>
        </w:numPr>
        <w:spacing w:after="0" w:line="240" w:lineRule="auto"/>
        <w:ind w:left="0" w:firstLine="284"/>
        <w:rPr>
          <w:sz w:val="24"/>
        </w:rPr>
      </w:pPr>
      <w:r>
        <w:rPr>
          <w:sz w:val="24"/>
        </w:rPr>
        <w:t>parametry oraz wskaźniki kształtowania zabudowy i zagospodarowania terenu:</w:t>
      </w:r>
    </w:p>
    <w:p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zakaz lokalizacji budynków</w:t>
      </w:r>
    </w:p>
    <w:p w:rsidR="00B905F0" w:rsidRDefault="00B905F0" w:rsidP="00B905F0">
      <w:pPr>
        <w:numPr>
          <w:ilvl w:val="1"/>
          <w:numId w:val="35"/>
        </w:numPr>
        <w:spacing w:after="0" w:line="240" w:lineRule="auto"/>
        <w:ind w:left="851" w:hanging="284"/>
        <w:rPr>
          <w:sz w:val="24"/>
        </w:rPr>
      </w:pPr>
      <w:r>
        <w:rPr>
          <w:sz w:val="24"/>
        </w:rPr>
        <w:t>minimalny udział powierzchni biologicznie czynnej dla terenu: 60%.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:rsidR="00B905F0" w:rsidRDefault="00B905F0" w:rsidP="00B905F0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15. </w:t>
      </w:r>
      <w:r>
        <w:rPr>
          <w:sz w:val="24"/>
          <w:szCs w:val="24"/>
        </w:rPr>
        <w:t xml:space="preserve">Dla terenów oznaczonych na rysunku planu miejscowego symbolami od </w:t>
      </w:r>
      <w:r w:rsidR="008D1977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.1 </w:t>
      </w:r>
      <w:r>
        <w:rPr>
          <w:sz w:val="24"/>
          <w:szCs w:val="24"/>
        </w:rPr>
        <w:t>do</w:t>
      </w:r>
      <w:r>
        <w:rPr>
          <w:b/>
          <w:sz w:val="24"/>
          <w:szCs w:val="24"/>
        </w:rPr>
        <w:t xml:space="preserve"> </w:t>
      </w:r>
      <w:r w:rsidR="008D1977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.3 – tereny </w:t>
      </w:r>
      <w:r w:rsidR="008D1977">
        <w:rPr>
          <w:b/>
          <w:sz w:val="24"/>
          <w:szCs w:val="24"/>
        </w:rPr>
        <w:t xml:space="preserve">ekstensywnych użytków rolnych </w:t>
      </w:r>
      <w:r>
        <w:rPr>
          <w:sz w:val="24"/>
          <w:szCs w:val="24"/>
        </w:rPr>
        <w:t>ustala się:</w:t>
      </w:r>
    </w:p>
    <w:p w:rsidR="00B905F0" w:rsidRDefault="00B905F0" w:rsidP="00B905F0">
      <w:pPr>
        <w:numPr>
          <w:ilvl w:val="0"/>
          <w:numId w:val="36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łąki,</w:t>
      </w:r>
    </w:p>
    <w:p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obiekty liniowe oraz infrastruktura techniczna niewymagająca zmiany przeznaczenia gruntów na cele nierolnicze i nieleśne,</w:t>
      </w:r>
    </w:p>
    <w:p w:rsidR="00B905F0" w:rsidRDefault="00B905F0" w:rsidP="00B905F0">
      <w:pPr>
        <w:numPr>
          <w:ilvl w:val="0"/>
          <w:numId w:val="36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zakaz lokalizacji budynków,</w:t>
      </w:r>
    </w:p>
    <w:p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minimalny udział powierzchni biologicznie czynnej dla terenu: 95%,</w:t>
      </w:r>
    </w:p>
    <w:p w:rsidR="00B905F0" w:rsidRDefault="00B905F0" w:rsidP="00B905F0">
      <w:pPr>
        <w:numPr>
          <w:ilvl w:val="1"/>
          <w:numId w:val="36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maksymalna wysokość budowli: 5,0 m.</w:t>
      </w:r>
    </w:p>
    <w:p w:rsidR="00B905F0" w:rsidRDefault="00B905F0" w:rsidP="00B905F0">
      <w:pPr>
        <w:spacing w:after="0" w:line="240" w:lineRule="auto"/>
        <w:ind w:left="0" w:firstLine="0"/>
        <w:rPr>
          <w:b/>
          <w:sz w:val="24"/>
          <w:szCs w:val="24"/>
        </w:rPr>
      </w:pPr>
    </w:p>
    <w:p w:rsidR="00B905F0" w:rsidRDefault="00B905F0" w:rsidP="00B905F0">
      <w:pPr>
        <w:spacing w:after="109"/>
        <w:rPr>
          <w:sz w:val="24"/>
          <w:szCs w:val="24"/>
        </w:rPr>
      </w:pPr>
      <w:r>
        <w:rPr>
          <w:b/>
          <w:sz w:val="24"/>
          <w:szCs w:val="24"/>
        </w:rPr>
        <w:t xml:space="preserve">§ 16. </w:t>
      </w:r>
      <w:r>
        <w:rPr>
          <w:sz w:val="24"/>
          <w:szCs w:val="24"/>
        </w:rPr>
        <w:t xml:space="preserve">Dla terenu oznaczonego na rysunku planu miejscowego symbolem od </w:t>
      </w:r>
      <w:r>
        <w:rPr>
          <w:b/>
          <w:sz w:val="24"/>
          <w:szCs w:val="24"/>
        </w:rPr>
        <w:t xml:space="preserve">WS – tereny powierzchniowych wód śródlądowych </w:t>
      </w:r>
      <w:r>
        <w:rPr>
          <w:sz w:val="24"/>
          <w:szCs w:val="24"/>
        </w:rPr>
        <w:t>ustala się:</w:t>
      </w:r>
    </w:p>
    <w:p w:rsidR="00B905F0" w:rsidRDefault="00B905F0" w:rsidP="00B905F0">
      <w:pPr>
        <w:numPr>
          <w:ilvl w:val="0"/>
          <w:numId w:val="37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kategorie przeznaczenia terenów:</w:t>
      </w:r>
    </w:p>
    <w:p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wody powierzchniowe śródlądowe,</w:t>
      </w:r>
    </w:p>
    <w:p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obiekty liniowe oraz infrastruktura techniczna niewymagająca zmiany przeznaczenia gruntów na cele nierolnicze i nieleśne,</w:t>
      </w:r>
    </w:p>
    <w:p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komunikacja – przez co rozumie się przecięcia terenu przez drogi wewnętrzne, drogi transportu rolnego,</w:t>
      </w:r>
    </w:p>
    <w:p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zieleń nieurządzona – przez co rozumie się niezakomponowane otwarte tereny zielone z roślinnością o dowolnej wysokości;</w:t>
      </w:r>
    </w:p>
    <w:p w:rsidR="00B905F0" w:rsidRDefault="00B905F0" w:rsidP="00B905F0">
      <w:pPr>
        <w:numPr>
          <w:ilvl w:val="0"/>
          <w:numId w:val="37"/>
        </w:numPr>
        <w:spacing w:after="0" w:line="240" w:lineRule="auto"/>
        <w:ind w:left="709" w:hanging="425"/>
        <w:rPr>
          <w:sz w:val="24"/>
          <w:szCs w:val="24"/>
        </w:rPr>
      </w:pPr>
      <w:r>
        <w:rPr>
          <w:sz w:val="24"/>
          <w:szCs w:val="24"/>
        </w:rPr>
        <w:t>zezwala się na częściową zabudowę cieku na odcinku przylegającym do terenu PG, zgodnie z przepisami odrębnymi;</w:t>
      </w:r>
    </w:p>
    <w:p w:rsidR="00B905F0" w:rsidRDefault="00B905F0" w:rsidP="00B905F0">
      <w:pPr>
        <w:numPr>
          <w:ilvl w:val="0"/>
          <w:numId w:val="37"/>
        </w:numPr>
        <w:spacing w:after="0" w:line="240" w:lineRule="auto"/>
        <w:ind w:left="0" w:firstLine="284"/>
        <w:rPr>
          <w:sz w:val="24"/>
          <w:szCs w:val="24"/>
        </w:rPr>
      </w:pPr>
      <w:r>
        <w:rPr>
          <w:sz w:val="24"/>
          <w:szCs w:val="24"/>
        </w:rPr>
        <w:t>parametry oraz wskaźniki kształtowania zabudowy i zagospodarowania terenu:</w:t>
      </w:r>
    </w:p>
    <w:p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zakaz lokalizacji budynków,</w:t>
      </w:r>
    </w:p>
    <w:p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minimalny udział powierzchni biologicznie czynnej dla terenu: 95%,</w:t>
      </w:r>
    </w:p>
    <w:p w:rsidR="00B905F0" w:rsidRDefault="00B905F0" w:rsidP="00B905F0">
      <w:pPr>
        <w:numPr>
          <w:ilvl w:val="1"/>
          <w:numId w:val="37"/>
        </w:numPr>
        <w:spacing w:after="0" w:line="240" w:lineRule="auto"/>
        <w:ind w:left="851" w:hanging="284"/>
        <w:rPr>
          <w:sz w:val="24"/>
          <w:szCs w:val="24"/>
        </w:rPr>
      </w:pPr>
      <w:r>
        <w:rPr>
          <w:sz w:val="24"/>
          <w:szCs w:val="24"/>
        </w:rPr>
        <w:t>maksymalna wysokość dla budowli: 5,0 m.</w:t>
      </w:r>
    </w:p>
    <w:p w:rsidR="00B905F0" w:rsidRDefault="00B905F0" w:rsidP="00B905F0">
      <w:pPr>
        <w:spacing w:after="0" w:line="240" w:lineRule="auto"/>
        <w:rPr>
          <w:sz w:val="24"/>
          <w:szCs w:val="24"/>
        </w:rPr>
      </w:pPr>
    </w:p>
    <w:p w:rsidR="00B905F0" w:rsidRDefault="00B905F0" w:rsidP="00B905F0">
      <w:pPr>
        <w:spacing w:after="0" w:line="240" w:lineRule="auto"/>
        <w:ind w:left="0" w:right="1" w:firstLine="0"/>
        <w:jc w:val="center"/>
        <w:rPr>
          <w:sz w:val="24"/>
        </w:rPr>
      </w:pPr>
      <w:r>
        <w:rPr>
          <w:b/>
          <w:sz w:val="24"/>
        </w:rPr>
        <w:t>Rozdział 3.</w:t>
      </w:r>
    </w:p>
    <w:p w:rsidR="00B905F0" w:rsidRDefault="00B905F0" w:rsidP="00B905F0">
      <w:pPr>
        <w:spacing w:after="0" w:line="240" w:lineRule="auto"/>
        <w:ind w:left="0" w:right="2" w:firstLine="0"/>
        <w:jc w:val="center"/>
        <w:rPr>
          <w:sz w:val="24"/>
        </w:rPr>
      </w:pPr>
      <w:r>
        <w:rPr>
          <w:b/>
          <w:sz w:val="24"/>
        </w:rPr>
        <w:t>USTALENIA KOŃCOWE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b/>
          <w:sz w:val="24"/>
        </w:rPr>
        <w:t xml:space="preserve">§ 17. </w:t>
      </w:r>
      <w:r>
        <w:rPr>
          <w:sz w:val="24"/>
        </w:rPr>
        <w:t>Ustala się następujące stawki procentowe, na podstawie których nalicza się jednorazową opłatę z tytułu wzrostu wartości terenu, określoną w art. 36 ust. 4 ustawy o planowaniu i zagospodarowaniu przestrzennym w wysokości:</w:t>
      </w:r>
    </w:p>
    <w:p w:rsidR="00B905F0" w:rsidRDefault="00B905F0" w:rsidP="00B905F0">
      <w:pPr>
        <w:numPr>
          <w:ilvl w:val="0"/>
          <w:numId w:val="38"/>
        </w:numPr>
        <w:spacing w:after="0" w:line="240" w:lineRule="auto"/>
        <w:ind w:left="567" w:right="-18" w:hanging="283"/>
        <w:rPr>
          <w:sz w:val="24"/>
        </w:rPr>
      </w:pPr>
      <w:r>
        <w:rPr>
          <w:sz w:val="24"/>
        </w:rPr>
        <w:t xml:space="preserve">30% dla terenów oznaczonych symbolami: </w:t>
      </w:r>
      <w:r>
        <w:rPr>
          <w:b/>
          <w:sz w:val="24"/>
        </w:rPr>
        <w:t>U, PG, TGKK;</w:t>
      </w:r>
    </w:p>
    <w:p w:rsidR="00B905F0" w:rsidRDefault="00B905F0" w:rsidP="00B905F0">
      <w:pPr>
        <w:numPr>
          <w:ilvl w:val="0"/>
          <w:numId w:val="38"/>
        </w:numPr>
        <w:spacing w:after="0" w:line="240" w:lineRule="auto"/>
        <w:ind w:left="567" w:right="2337" w:hanging="283"/>
        <w:rPr>
          <w:sz w:val="24"/>
        </w:rPr>
      </w:pPr>
      <w:r>
        <w:rPr>
          <w:sz w:val="24"/>
        </w:rPr>
        <w:t>0% dla pozostałych terenów.</w:t>
      </w:r>
    </w:p>
    <w:p w:rsidR="00B905F0" w:rsidRDefault="00B905F0" w:rsidP="00B905F0">
      <w:pPr>
        <w:spacing w:after="0" w:line="240" w:lineRule="auto"/>
        <w:ind w:left="567" w:right="2337" w:firstLine="0"/>
        <w:rPr>
          <w:sz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b/>
          <w:sz w:val="24"/>
        </w:rPr>
        <w:t xml:space="preserve">§ 18. </w:t>
      </w:r>
      <w:r>
        <w:rPr>
          <w:sz w:val="24"/>
        </w:rPr>
        <w:t>Wykonanie uchwały powierza się Burmistrzowi Ząbkowic Śląskich.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</w:rPr>
      </w:pPr>
    </w:p>
    <w:p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b/>
          <w:sz w:val="24"/>
        </w:rPr>
        <w:t xml:space="preserve">§ 19. </w:t>
      </w:r>
      <w:r>
        <w:rPr>
          <w:sz w:val="24"/>
        </w:rPr>
        <w:t>Uchwała wchodzi w życie po upływie 14 dni od dnia jej ogłoszenia w Dzienniku Urzędowym Województwa Dolnośląskiego.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:rsidR="00B905F0" w:rsidRDefault="00B905F0" w:rsidP="00B905F0">
      <w:pPr>
        <w:spacing w:after="0" w:line="240" w:lineRule="auto"/>
        <w:ind w:left="0" w:right="848" w:firstLine="0"/>
        <w:jc w:val="right"/>
        <w:rPr>
          <w:sz w:val="24"/>
        </w:rPr>
      </w:pPr>
    </w:p>
    <w:p w:rsidR="00B905F0" w:rsidRDefault="00B905F0" w:rsidP="00B905F0">
      <w:pPr>
        <w:spacing w:after="0" w:line="240" w:lineRule="auto"/>
        <w:ind w:left="0" w:right="848" w:firstLine="0"/>
        <w:jc w:val="right"/>
        <w:rPr>
          <w:sz w:val="24"/>
        </w:rPr>
      </w:pPr>
      <w:r>
        <w:rPr>
          <w:sz w:val="24"/>
        </w:rPr>
        <w:t>Przewodniczący Rady Miejskiej Ząbkowic Śląskich</w:t>
      </w:r>
    </w:p>
    <w:p w:rsidR="00B905F0" w:rsidRDefault="00B905F0" w:rsidP="00B905F0">
      <w:pPr>
        <w:spacing w:after="0" w:line="240" w:lineRule="auto"/>
        <w:ind w:left="0" w:firstLine="0"/>
        <w:rPr>
          <w:sz w:val="24"/>
          <w:szCs w:val="24"/>
        </w:rPr>
      </w:pPr>
    </w:p>
    <w:p w:rsidR="00B905F0" w:rsidRDefault="00B905F0" w:rsidP="00B905F0"/>
    <w:p w:rsidR="00424D5C" w:rsidRDefault="00424D5C"/>
    <w:sectPr w:rsidR="00424D5C" w:rsidSect="00BB27B1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FFC" w:rsidRDefault="00AC1FFC" w:rsidP="00BE09B8">
      <w:pPr>
        <w:spacing w:after="0" w:line="240" w:lineRule="auto"/>
      </w:pPr>
      <w:r>
        <w:separator/>
      </w:r>
    </w:p>
  </w:endnote>
  <w:endnote w:type="continuationSeparator" w:id="0">
    <w:p w:rsidR="00AC1FFC" w:rsidRDefault="00AC1FFC" w:rsidP="00BE0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2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E09B8" w:rsidRDefault="00BE09B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BE09B8" w:rsidRDefault="00BE09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FFC" w:rsidRDefault="00AC1FFC" w:rsidP="00BE09B8">
      <w:pPr>
        <w:spacing w:after="0" w:line="240" w:lineRule="auto"/>
      </w:pPr>
      <w:r>
        <w:separator/>
      </w:r>
    </w:p>
  </w:footnote>
  <w:footnote w:type="continuationSeparator" w:id="0">
    <w:p w:rsidR="00AC1FFC" w:rsidRDefault="00AC1FFC" w:rsidP="00BE0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B44"/>
    <w:multiLevelType w:val="hybridMultilevel"/>
    <w:tmpl w:val="872869E6"/>
    <w:lvl w:ilvl="0" w:tplc="F31E56D2">
      <w:start w:val="1"/>
      <w:numFmt w:val="lowerLetter"/>
      <w:lvlText w:val="%1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F35A9"/>
    <w:multiLevelType w:val="hybridMultilevel"/>
    <w:tmpl w:val="C2E420CE"/>
    <w:lvl w:ilvl="0" w:tplc="067AE42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E3BA2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8CE7F2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4A4EFEE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5242860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0EEEB4A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476E1D8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DE794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A7C3E7E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5AD7B1B"/>
    <w:multiLevelType w:val="hybridMultilevel"/>
    <w:tmpl w:val="2AE03676"/>
    <w:lvl w:ilvl="0" w:tplc="C072544E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741A90">
      <w:start w:val="1"/>
      <w:numFmt w:val="lowerLetter"/>
      <w:lvlText w:val="%2)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9029EA">
      <w:start w:val="1"/>
      <w:numFmt w:val="lowerRoman"/>
      <w:lvlText w:val="%3"/>
      <w:lvlJc w:val="left"/>
      <w:pPr>
        <w:ind w:left="1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18CD03A">
      <w:start w:val="1"/>
      <w:numFmt w:val="decimal"/>
      <w:lvlText w:val="%4"/>
      <w:lvlJc w:val="left"/>
      <w:pPr>
        <w:ind w:left="2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9CAD1C">
      <w:start w:val="1"/>
      <w:numFmt w:val="lowerLetter"/>
      <w:lvlText w:val="%5"/>
      <w:lvlJc w:val="left"/>
      <w:pPr>
        <w:ind w:left="2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8A2B10">
      <w:start w:val="1"/>
      <w:numFmt w:val="lowerRoman"/>
      <w:lvlText w:val="%6"/>
      <w:lvlJc w:val="left"/>
      <w:pPr>
        <w:ind w:left="3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367B70">
      <w:start w:val="1"/>
      <w:numFmt w:val="decimal"/>
      <w:lvlText w:val="%7"/>
      <w:lvlJc w:val="left"/>
      <w:pPr>
        <w:ind w:left="4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54C5DE4">
      <w:start w:val="1"/>
      <w:numFmt w:val="lowerLetter"/>
      <w:lvlText w:val="%8"/>
      <w:lvlJc w:val="left"/>
      <w:pPr>
        <w:ind w:left="4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4222BC">
      <w:start w:val="1"/>
      <w:numFmt w:val="lowerRoman"/>
      <w:lvlText w:val="%9"/>
      <w:lvlJc w:val="left"/>
      <w:pPr>
        <w:ind w:left="5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CF36B6E"/>
    <w:multiLevelType w:val="hybridMultilevel"/>
    <w:tmpl w:val="2D7C5184"/>
    <w:lvl w:ilvl="0" w:tplc="A762D254">
      <w:start w:val="1"/>
      <w:numFmt w:val="lowerLetter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2590"/>
    <w:multiLevelType w:val="hybridMultilevel"/>
    <w:tmpl w:val="A434D376"/>
    <w:lvl w:ilvl="0" w:tplc="018E0D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890"/>
    <w:multiLevelType w:val="hybridMultilevel"/>
    <w:tmpl w:val="B2DE818E"/>
    <w:lvl w:ilvl="0" w:tplc="EEFA85C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1C51E6"/>
    <w:multiLevelType w:val="hybridMultilevel"/>
    <w:tmpl w:val="47ACF37A"/>
    <w:lvl w:ilvl="0" w:tplc="53B6FF8C">
      <w:start w:val="1"/>
      <w:numFmt w:val="lowerLetter"/>
      <w:suff w:val="space"/>
      <w:lvlText w:val="%1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40198"/>
    <w:multiLevelType w:val="hybridMultilevel"/>
    <w:tmpl w:val="10CCE01C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3223C15"/>
    <w:multiLevelType w:val="hybridMultilevel"/>
    <w:tmpl w:val="2D7C5184"/>
    <w:lvl w:ilvl="0" w:tplc="A762D254">
      <w:start w:val="1"/>
      <w:numFmt w:val="lowerLetter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31216"/>
    <w:multiLevelType w:val="hybridMultilevel"/>
    <w:tmpl w:val="10CCE01C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563759F"/>
    <w:multiLevelType w:val="hybridMultilevel"/>
    <w:tmpl w:val="2D7C5184"/>
    <w:lvl w:ilvl="0" w:tplc="A762D254">
      <w:start w:val="1"/>
      <w:numFmt w:val="lowerLetter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E1863"/>
    <w:multiLevelType w:val="hybridMultilevel"/>
    <w:tmpl w:val="93A6AB82"/>
    <w:lvl w:ilvl="0" w:tplc="3C62022C">
      <w:start w:val="1"/>
      <w:numFmt w:val="lowerLetter"/>
      <w:suff w:val="space"/>
      <w:lvlText w:val="%1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B29B6"/>
    <w:multiLevelType w:val="hybridMultilevel"/>
    <w:tmpl w:val="D708D9D2"/>
    <w:lvl w:ilvl="0" w:tplc="FB8852BC">
      <w:start w:val="1"/>
      <w:numFmt w:val="decimal"/>
      <w:lvlText w:val="%1)"/>
      <w:lvlJc w:val="left"/>
      <w:pPr>
        <w:ind w:left="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DD02126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D8CDD4C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70C6D468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2B643D8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D248A6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E068B3E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EF09960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274B292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890588"/>
    <w:multiLevelType w:val="hybridMultilevel"/>
    <w:tmpl w:val="10CCE01C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42D6FCD"/>
    <w:multiLevelType w:val="hybridMultilevel"/>
    <w:tmpl w:val="EB581FA4"/>
    <w:lvl w:ilvl="0" w:tplc="4E14C862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CEFABE">
      <w:start w:val="1"/>
      <w:numFmt w:val="lowerLetter"/>
      <w:suff w:val="space"/>
      <w:lvlText w:val="%2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8D05764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F3989EE2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0EE3B86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B616D6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D8AB788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B2F0F0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ED6CC2C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37F20141"/>
    <w:multiLevelType w:val="hybridMultilevel"/>
    <w:tmpl w:val="872869E6"/>
    <w:lvl w:ilvl="0" w:tplc="F31E56D2">
      <w:start w:val="1"/>
      <w:numFmt w:val="lowerLetter"/>
      <w:lvlText w:val="%1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B06CD"/>
    <w:multiLevelType w:val="hybridMultilevel"/>
    <w:tmpl w:val="2F7E73E2"/>
    <w:lvl w:ilvl="0" w:tplc="17487E8E">
      <w:start w:val="1"/>
      <w:numFmt w:val="decimal"/>
      <w:lvlText w:val="%1)"/>
      <w:lvlJc w:val="left"/>
      <w:pPr>
        <w:ind w:left="4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76B0B0EC">
      <w:start w:val="5"/>
      <w:numFmt w:val="decimal"/>
      <w:lvlText w:val="%2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2BE10E8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2664EC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3CAD8B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538193E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0ECD244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4D2B8D4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9C0121A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7B401A3"/>
    <w:multiLevelType w:val="hybridMultilevel"/>
    <w:tmpl w:val="17C2F140"/>
    <w:lvl w:ilvl="0" w:tplc="A762D254">
      <w:start w:val="1"/>
      <w:numFmt w:val="lowerLetter"/>
      <w:lvlText w:val="%1)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0808"/>
    <w:multiLevelType w:val="hybridMultilevel"/>
    <w:tmpl w:val="2D7C5184"/>
    <w:lvl w:ilvl="0" w:tplc="A762D254">
      <w:start w:val="1"/>
      <w:numFmt w:val="lowerLetter"/>
      <w:lvlText w:val="%1)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F1153D"/>
    <w:multiLevelType w:val="hybridMultilevel"/>
    <w:tmpl w:val="CFC40C16"/>
    <w:lvl w:ilvl="0" w:tplc="1FF07B82">
      <w:start w:val="2"/>
      <w:numFmt w:val="decimal"/>
      <w:lvlText w:val="%1.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0A4F546">
      <w:start w:val="1"/>
      <w:numFmt w:val="lowerLetter"/>
      <w:lvlText w:val="%2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DEEE32A">
      <w:start w:val="1"/>
      <w:numFmt w:val="lowerRoman"/>
      <w:lvlText w:val="%3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99C2AEE">
      <w:start w:val="1"/>
      <w:numFmt w:val="decimal"/>
      <w:lvlText w:val="%4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2BC7F7A">
      <w:start w:val="1"/>
      <w:numFmt w:val="lowerLetter"/>
      <w:lvlText w:val="%5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B6EC3C6">
      <w:start w:val="1"/>
      <w:numFmt w:val="lowerRoman"/>
      <w:lvlText w:val="%6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88C1DF8">
      <w:start w:val="1"/>
      <w:numFmt w:val="decimal"/>
      <w:lvlText w:val="%7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1AE32A4">
      <w:start w:val="1"/>
      <w:numFmt w:val="lowerLetter"/>
      <w:lvlText w:val="%8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1A927A">
      <w:start w:val="1"/>
      <w:numFmt w:val="lowerRoman"/>
      <w:lvlText w:val="%9"/>
      <w:lvlJc w:val="left"/>
      <w:pPr>
        <w:ind w:left="64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51434EF9"/>
    <w:multiLevelType w:val="hybridMultilevel"/>
    <w:tmpl w:val="83200674"/>
    <w:lvl w:ilvl="0" w:tplc="E594EF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5E7369B"/>
    <w:multiLevelType w:val="hybridMultilevel"/>
    <w:tmpl w:val="F412EBD0"/>
    <w:lvl w:ilvl="0" w:tplc="AA2873D0">
      <w:start w:val="3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51F6D1D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B5AC88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536F1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607C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668B5E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7E8D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D20B0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AB0B63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B1A4EDA"/>
    <w:multiLevelType w:val="hybridMultilevel"/>
    <w:tmpl w:val="53AEA0E6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DB60B2E">
      <w:start w:val="1"/>
      <w:numFmt w:val="lowerLetter"/>
      <w:suff w:val="space"/>
      <w:lvlText w:val="%2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D0971D1"/>
    <w:multiLevelType w:val="hybridMultilevel"/>
    <w:tmpl w:val="B7909500"/>
    <w:lvl w:ilvl="0" w:tplc="3582244C">
      <w:start w:val="2"/>
      <w:numFmt w:val="decimal"/>
      <w:lvlText w:val="%1."/>
      <w:lvlJc w:val="left"/>
      <w:pPr>
        <w:ind w:left="1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055AA"/>
    <w:multiLevelType w:val="hybridMultilevel"/>
    <w:tmpl w:val="10CCE01C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6089383E"/>
    <w:multiLevelType w:val="hybridMultilevel"/>
    <w:tmpl w:val="BE46F448"/>
    <w:lvl w:ilvl="0" w:tplc="F3FEFD52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5C89BAE">
      <w:start w:val="1"/>
      <w:numFmt w:val="lowerLetter"/>
      <w:lvlText w:val="%2)"/>
      <w:lvlJc w:val="left"/>
      <w:pPr>
        <w:ind w:left="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86E786C">
      <w:start w:val="1"/>
      <w:numFmt w:val="lowerRoman"/>
      <w:lvlText w:val="%3"/>
      <w:lvlJc w:val="left"/>
      <w:pPr>
        <w:ind w:left="1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F0CFAAC">
      <w:start w:val="1"/>
      <w:numFmt w:val="decimal"/>
      <w:lvlText w:val="%4"/>
      <w:lvlJc w:val="left"/>
      <w:pPr>
        <w:ind w:left="2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D4E872">
      <w:start w:val="1"/>
      <w:numFmt w:val="lowerLetter"/>
      <w:lvlText w:val="%5"/>
      <w:lvlJc w:val="left"/>
      <w:pPr>
        <w:ind w:left="2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DC7E84F2">
      <w:start w:val="1"/>
      <w:numFmt w:val="lowerRoman"/>
      <w:lvlText w:val="%6"/>
      <w:lvlJc w:val="left"/>
      <w:pPr>
        <w:ind w:left="3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F7CA9CA">
      <w:start w:val="1"/>
      <w:numFmt w:val="decimal"/>
      <w:lvlText w:val="%7"/>
      <w:lvlJc w:val="left"/>
      <w:pPr>
        <w:ind w:left="4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3C1972">
      <w:start w:val="1"/>
      <w:numFmt w:val="lowerLetter"/>
      <w:lvlText w:val="%8"/>
      <w:lvlJc w:val="left"/>
      <w:pPr>
        <w:ind w:left="4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4BE5742">
      <w:start w:val="1"/>
      <w:numFmt w:val="lowerRoman"/>
      <w:lvlText w:val="%9"/>
      <w:lvlJc w:val="left"/>
      <w:pPr>
        <w:ind w:left="5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63C9558C"/>
    <w:multiLevelType w:val="hybridMultilevel"/>
    <w:tmpl w:val="40D0DD46"/>
    <w:lvl w:ilvl="0" w:tplc="498E2BCC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EE4FA8C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6EFADEE6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8D2CA50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8968A9A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9AF082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249C14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1BE5774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8E4451B6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E4221F5"/>
    <w:multiLevelType w:val="hybridMultilevel"/>
    <w:tmpl w:val="2CAE79B2"/>
    <w:lvl w:ilvl="0" w:tplc="C072544E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3D24F4A">
      <w:start w:val="1"/>
      <w:numFmt w:val="lowerLetter"/>
      <w:suff w:val="space"/>
      <w:lvlText w:val="%2)"/>
      <w:lvlJc w:val="left"/>
      <w:pPr>
        <w:ind w:left="55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79029EA">
      <w:start w:val="1"/>
      <w:numFmt w:val="lowerRoman"/>
      <w:lvlText w:val="%3"/>
      <w:lvlJc w:val="left"/>
      <w:pPr>
        <w:ind w:left="1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18CD03A">
      <w:start w:val="1"/>
      <w:numFmt w:val="decimal"/>
      <w:lvlText w:val="%4"/>
      <w:lvlJc w:val="left"/>
      <w:pPr>
        <w:ind w:left="2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E19CAD1C">
      <w:start w:val="1"/>
      <w:numFmt w:val="lowerLetter"/>
      <w:lvlText w:val="%5"/>
      <w:lvlJc w:val="left"/>
      <w:pPr>
        <w:ind w:left="2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8A2B10">
      <w:start w:val="1"/>
      <w:numFmt w:val="lowerRoman"/>
      <w:lvlText w:val="%6"/>
      <w:lvlJc w:val="left"/>
      <w:pPr>
        <w:ind w:left="3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6367B70">
      <w:start w:val="1"/>
      <w:numFmt w:val="decimal"/>
      <w:lvlText w:val="%7"/>
      <w:lvlJc w:val="left"/>
      <w:pPr>
        <w:ind w:left="4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54C5DE4">
      <w:start w:val="1"/>
      <w:numFmt w:val="lowerLetter"/>
      <w:lvlText w:val="%8"/>
      <w:lvlJc w:val="left"/>
      <w:pPr>
        <w:ind w:left="4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54222BC">
      <w:start w:val="1"/>
      <w:numFmt w:val="lowerRoman"/>
      <w:lvlText w:val="%9"/>
      <w:lvlJc w:val="left"/>
      <w:pPr>
        <w:ind w:left="5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6FB378E1"/>
    <w:multiLevelType w:val="hybridMultilevel"/>
    <w:tmpl w:val="A434D376"/>
    <w:lvl w:ilvl="0" w:tplc="018E0D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4F45F0"/>
    <w:multiLevelType w:val="hybridMultilevel"/>
    <w:tmpl w:val="E020DA20"/>
    <w:lvl w:ilvl="0" w:tplc="67F6AA9E">
      <w:start w:val="1"/>
      <w:numFmt w:val="decimal"/>
      <w:lvlText w:val="%1)"/>
      <w:lvlJc w:val="left"/>
      <w:pPr>
        <w:ind w:left="685" w:hanging="360"/>
      </w:pPr>
    </w:lvl>
    <w:lvl w:ilvl="1" w:tplc="04150019">
      <w:start w:val="1"/>
      <w:numFmt w:val="lowerLetter"/>
      <w:lvlText w:val="%2."/>
      <w:lvlJc w:val="left"/>
      <w:pPr>
        <w:ind w:left="1405" w:hanging="360"/>
      </w:pPr>
    </w:lvl>
    <w:lvl w:ilvl="2" w:tplc="0415001B">
      <w:start w:val="1"/>
      <w:numFmt w:val="lowerRoman"/>
      <w:lvlText w:val="%3."/>
      <w:lvlJc w:val="right"/>
      <w:pPr>
        <w:ind w:left="2125" w:hanging="180"/>
      </w:pPr>
    </w:lvl>
    <w:lvl w:ilvl="3" w:tplc="0415000F">
      <w:start w:val="1"/>
      <w:numFmt w:val="decimal"/>
      <w:lvlText w:val="%4."/>
      <w:lvlJc w:val="left"/>
      <w:pPr>
        <w:ind w:left="2845" w:hanging="360"/>
      </w:pPr>
    </w:lvl>
    <w:lvl w:ilvl="4" w:tplc="04150019">
      <w:start w:val="1"/>
      <w:numFmt w:val="lowerLetter"/>
      <w:lvlText w:val="%5."/>
      <w:lvlJc w:val="left"/>
      <w:pPr>
        <w:ind w:left="3565" w:hanging="360"/>
      </w:pPr>
    </w:lvl>
    <w:lvl w:ilvl="5" w:tplc="0415001B">
      <w:start w:val="1"/>
      <w:numFmt w:val="lowerRoman"/>
      <w:lvlText w:val="%6."/>
      <w:lvlJc w:val="right"/>
      <w:pPr>
        <w:ind w:left="4285" w:hanging="180"/>
      </w:pPr>
    </w:lvl>
    <w:lvl w:ilvl="6" w:tplc="0415000F">
      <w:start w:val="1"/>
      <w:numFmt w:val="decimal"/>
      <w:lvlText w:val="%7."/>
      <w:lvlJc w:val="left"/>
      <w:pPr>
        <w:ind w:left="5005" w:hanging="360"/>
      </w:pPr>
    </w:lvl>
    <w:lvl w:ilvl="7" w:tplc="04150019">
      <w:start w:val="1"/>
      <w:numFmt w:val="lowerLetter"/>
      <w:lvlText w:val="%8."/>
      <w:lvlJc w:val="left"/>
      <w:pPr>
        <w:ind w:left="5725" w:hanging="360"/>
      </w:pPr>
    </w:lvl>
    <w:lvl w:ilvl="8" w:tplc="0415001B">
      <w:start w:val="1"/>
      <w:numFmt w:val="lowerRoman"/>
      <w:lvlText w:val="%9."/>
      <w:lvlJc w:val="right"/>
      <w:pPr>
        <w:ind w:left="6445" w:hanging="180"/>
      </w:pPr>
    </w:lvl>
  </w:abstractNum>
  <w:abstractNum w:abstractNumId="30" w15:restartNumberingAfterBreak="0">
    <w:nsid w:val="735268F7"/>
    <w:multiLevelType w:val="hybridMultilevel"/>
    <w:tmpl w:val="A5D20AF2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31E56D2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 w15:restartNumberingAfterBreak="0">
    <w:nsid w:val="75354B73"/>
    <w:multiLevelType w:val="hybridMultilevel"/>
    <w:tmpl w:val="53AEA0E6"/>
    <w:lvl w:ilvl="0" w:tplc="0688007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DB60B2E">
      <w:start w:val="1"/>
      <w:numFmt w:val="lowerLetter"/>
      <w:suff w:val="space"/>
      <w:lvlText w:val="%2)"/>
      <w:lvlJc w:val="left"/>
      <w:pPr>
        <w:ind w:left="5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6784E26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8027888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64E62544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696F958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168282E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6B2404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EB09DD6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75616B27"/>
    <w:multiLevelType w:val="hybridMultilevel"/>
    <w:tmpl w:val="A434D376"/>
    <w:lvl w:ilvl="0" w:tplc="018E0D4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F01427"/>
    <w:multiLevelType w:val="hybridMultilevel"/>
    <w:tmpl w:val="9370CDB2"/>
    <w:lvl w:ilvl="0" w:tplc="CBE24496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F0C4EAA">
      <w:start w:val="1"/>
      <w:numFmt w:val="lowerLetter"/>
      <w:lvlText w:val="%2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FDED120">
      <w:start w:val="1"/>
      <w:numFmt w:val="lowerRoman"/>
      <w:lvlText w:val="%3"/>
      <w:lvlJc w:val="left"/>
      <w:pPr>
        <w:ind w:left="1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488224DC">
      <w:start w:val="1"/>
      <w:numFmt w:val="decimal"/>
      <w:lvlText w:val="%4"/>
      <w:lvlJc w:val="left"/>
      <w:pPr>
        <w:ind w:left="2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57283668">
      <w:start w:val="1"/>
      <w:numFmt w:val="lowerLetter"/>
      <w:lvlText w:val="%5"/>
      <w:lvlJc w:val="left"/>
      <w:pPr>
        <w:ind w:left="2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2284870">
      <w:start w:val="1"/>
      <w:numFmt w:val="lowerRoman"/>
      <w:lvlText w:val="%6"/>
      <w:lvlJc w:val="left"/>
      <w:pPr>
        <w:ind w:left="3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110F012">
      <w:start w:val="1"/>
      <w:numFmt w:val="decimal"/>
      <w:lvlText w:val="%7"/>
      <w:lvlJc w:val="left"/>
      <w:pPr>
        <w:ind w:left="4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9CF25796">
      <w:start w:val="1"/>
      <w:numFmt w:val="lowerLetter"/>
      <w:lvlText w:val="%8"/>
      <w:lvlJc w:val="left"/>
      <w:pPr>
        <w:ind w:left="49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CD02946">
      <w:start w:val="1"/>
      <w:numFmt w:val="lowerRoman"/>
      <w:lvlText w:val="%9"/>
      <w:lvlJc w:val="left"/>
      <w:pPr>
        <w:ind w:left="56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77137139"/>
    <w:multiLevelType w:val="hybridMultilevel"/>
    <w:tmpl w:val="872869E6"/>
    <w:lvl w:ilvl="0" w:tplc="F31E56D2">
      <w:start w:val="1"/>
      <w:numFmt w:val="lowerLetter"/>
      <w:lvlText w:val="%1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967768"/>
    <w:multiLevelType w:val="hybridMultilevel"/>
    <w:tmpl w:val="529A60EC"/>
    <w:lvl w:ilvl="0" w:tplc="C9DEC388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F42BB48">
      <w:start w:val="5"/>
      <w:numFmt w:val="decimal"/>
      <w:lvlText w:val="%2."/>
      <w:lvlJc w:val="left"/>
      <w:pPr>
        <w:ind w:left="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BEF9B4">
      <w:start w:val="1"/>
      <w:numFmt w:val="lowerRoman"/>
      <w:lvlText w:val="%3"/>
      <w:lvlJc w:val="left"/>
      <w:pPr>
        <w:ind w:left="14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CF4E8F0">
      <w:start w:val="1"/>
      <w:numFmt w:val="decimal"/>
      <w:lvlText w:val="%4"/>
      <w:lvlJc w:val="left"/>
      <w:pPr>
        <w:ind w:left="2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F5461B88">
      <w:start w:val="1"/>
      <w:numFmt w:val="lowerLetter"/>
      <w:lvlText w:val="%5"/>
      <w:lvlJc w:val="left"/>
      <w:pPr>
        <w:ind w:left="28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999A4DA0">
      <w:start w:val="1"/>
      <w:numFmt w:val="lowerRoman"/>
      <w:lvlText w:val="%6"/>
      <w:lvlJc w:val="left"/>
      <w:pPr>
        <w:ind w:left="35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ED639E6">
      <w:start w:val="1"/>
      <w:numFmt w:val="decimal"/>
      <w:lvlText w:val="%7"/>
      <w:lvlJc w:val="left"/>
      <w:pPr>
        <w:ind w:left="43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8DA5DFE">
      <w:start w:val="1"/>
      <w:numFmt w:val="lowerLetter"/>
      <w:lvlText w:val="%8"/>
      <w:lvlJc w:val="left"/>
      <w:pPr>
        <w:ind w:left="50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F94B5E0">
      <w:start w:val="1"/>
      <w:numFmt w:val="lowerRoman"/>
      <w:lvlText w:val="%9"/>
      <w:lvlJc w:val="left"/>
      <w:pPr>
        <w:ind w:left="57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6" w15:restartNumberingAfterBreak="0">
    <w:nsid w:val="7BEC6F12"/>
    <w:multiLevelType w:val="hybridMultilevel"/>
    <w:tmpl w:val="872869E6"/>
    <w:lvl w:ilvl="0" w:tplc="F31E56D2">
      <w:start w:val="1"/>
      <w:numFmt w:val="lowerLetter"/>
      <w:lvlText w:val="%1)"/>
      <w:lvlJc w:val="left"/>
      <w:pPr>
        <w:ind w:left="5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4518AC"/>
    <w:multiLevelType w:val="hybridMultilevel"/>
    <w:tmpl w:val="87D22A58"/>
    <w:lvl w:ilvl="0" w:tplc="F2D6ADC8">
      <w:start w:val="1"/>
      <w:numFmt w:val="decimal"/>
      <w:lvlText w:val="%1)"/>
      <w:lvlJc w:val="left"/>
      <w:pPr>
        <w:ind w:left="3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6B74C834">
      <w:start w:val="1"/>
      <w:numFmt w:val="lowerLetter"/>
      <w:lvlText w:val="%2"/>
      <w:lvlJc w:val="left"/>
      <w:pPr>
        <w:ind w:left="11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1BCAD7A">
      <w:start w:val="1"/>
      <w:numFmt w:val="lowerRoman"/>
      <w:lvlText w:val="%3"/>
      <w:lvlJc w:val="left"/>
      <w:pPr>
        <w:ind w:left="19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89CF2AE">
      <w:start w:val="1"/>
      <w:numFmt w:val="decimal"/>
      <w:lvlText w:val="%4"/>
      <w:lvlJc w:val="left"/>
      <w:pPr>
        <w:ind w:left="26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A9EC160">
      <w:start w:val="1"/>
      <w:numFmt w:val="lowerLetter"/>
      <w:lvlText w:val="%5"/>
      <w:lvlJc w:val="left"/>
      <w:pPr>
        <w:ind w:left="33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C191E">
      <w:start w:val="1"/>
      <w:numFmt w:val="lowerRoman"/>
      <w:lvlText w:val="%6"/>
      <w:lvlJc w:val="left"/>
      <w:pPr>
        <w:ind w:left="40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6E14E0">
      <w:start w:val="1"/>
      <w:numFmt w:val="decimal"/>
      <w:lvlText w:val="%7"/>
      <w:lvlJc w:val="left"/>
      <w:pPr>
        <w:ind w:left="47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04E4A92">
      <w:start w:val="1"/>
      <w:numFmt w:val="lowerLetter"/>
      <w:lvlText w:val="%8"/>
      <w:lvlJc w:val="left"/>
      <w:pPr>
        <w:ind w:left="55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803548">
      <w:start w:val="1"/>
      <w:numFmt w:val="lowerRoman"/>
      <w:lvlText w:val="%9"/>
      <w:lvlJc w:val="left"/>
      <w:pPr>
        <w:ind w:left="62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5F0"/>
    <w:rsid w:val="00025701"/>
    <w:rsid w:val="0008670C"/>
    <w:rsid w:val="00121734"/>
    <w:rsid w:val="001F1C63"/>
    <w:rsid w:val="00330071"/>
    <w:rsid w:val="003E14F5"/>
    <w:rsid w:val="00424D5C"/>
    <w:rsid w:val="00507C93"/>
    <w:rsid w:val="00635632"/>
    <w:rsid w:val="008504BF"/>
    <w:rsid w:val="008D1977"/>
    <w:rsid w:val="00AA394E"/>
    <w:rsid w:val="00AC1FFC"/>
    <w:rsid w:val="00B905F0"/>
    <w:rsid w:val="00BB27B1"/>
    <w:rsid w:val="00BD36CA"/>
    <w:rsid w:val="00BE09B8"/>
    <w:rsid w:val="00CA11E3"/>
    <w:rsid w:val="00D30B01"/>
    <w:rsid w:val="00EA4836"/>
    <w:rsid w:val="00EC318B"/>
    <w:rsid w:val="00F4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79B3"/>
  <w15:chartTrackingRefBased/>
  <w15:docId w15:val="{C3FB4647-AC2A-4454-830F-EDEE1D5D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5F0"/>
    <w:pPr>
      <w:spacing w:after="110" w:line="24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5F0"/>
    <w:pPr>
      <w:keepNext/>
      <w:spacing w:after="0" w:line="240" w:lineRule="auto"/>
      <w:ind w:left="0" w:right="-18" w:firstLine="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5F0"/>
    <w:pPr>
      <w:keepNext/>
      <w:spacing w:after="0" w:line="240" w:lineRule="auto"/>
      <w:ind w:left="0" w:right="2" w:firstLine="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5F0"/>
    <w:pPr>
      <w:keepNext/>
      <w:spacing w:after="0" w:line="240" w:lineRule="auto"/>
      <w:ind w:left="0" w:firstLine="0"/>
      <w:jc w:val="right"/>
      <w:outlineLvl w:val="3"/>
    </w:pPr>
    <w:rPr>
      <w:b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5F0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5F0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5F0"/>
    <w:rPr>
      <w:rFonts w:ascii="Times New Roman" w:eastAsia="Times New Roman" w:hAnsi="Times New Roman" w:cs="Times New Roman"/>
      <w:b/>
      <w:i/>
      <w:iCs/>
      <w:color w:val="000000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905F0"/>
    <w:pPr>
      <w:spacing w:after="109" w:line="240" w:lineRule="auto"/>
      <w:ind w:left="284" w:hanging="284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905F0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905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09B8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0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09B8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E844A-944E-46DB-B5D6-28F9B36B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2894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2021-11-22T09:59:00Z</dcterms:created>
  <dcterms:modified xsi:type="dcterms:W3CDTF">2021-11-25T08:33:00Z</dcterms:modified>
</cp:coreProperties>
</file>